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FD6E" w14:textId="77777777" w:rsidR="00B338FA" w:rsidRDefault="00B338FA" w:rsidP="00EF485B">
      <w:pPr>
        <w:pStyle w:val="Geenafstand"/>
      </w:pPr>
    </w:p>
    <w:p w14:paraId="3DCF80C1" w14:textId="2E0E2A20" w:rsidR="00825069" w:rsidRPr="0093645A" w:rsidRDefault="005742AB" w:rsidP="0093645A">
      <w:pPr>
        <w:pStyle w:val="Kop1"/>
      </w:pPr>
      <w:r w:rsidRPr="0093645A">
        <w:t xml:space="preserve">Letter of Intent for participation in the Advisory Board of the </w:t>
      </w:r>
      <w:r w:rsidR="00EF485B" w:rsidRPr="0093645A">
        <w:t>M</w:t>
      </w:r>
      <w:r w:rsidR="00786987" w:rsidRPr="0093645A">
        <w:t xml:space="preserve">oonshot </w:t>
      </w:r>
      <w:r w:rsidR="008A3117" w:rsidRPr="0093645A">
        <w:t xml:space="preserve">research </w:t>
      </w:r>
      <w:r w:rsidR="00A14B86" w:rsidRPr="0093645A">
        <w:t xml:space="preserve">trajectory Biobased </w:t>
      </w:r>
      <w:r w:rsidR="00FE62BC" w:rsidRPr="0093645A">
        <w:t>C</w:t>
      </w:r>
      <w:r w:rsidR="00A14B86" w:rsidRPr="0093645A">
        <w:t>hemistry</w:t>
      </w:r>
    </w:p>
    <w:p w14:paraId="49BBBF18" w14:textId="77777777" w:rsidR="003B2AFB" w:rsidRPr="00A215DB" w:rsidRDefault="003B2AFB" w:rsidP="00EF485B">
      <w:pPr>
        <w:pStyle w:val="Geenafstand"/>
      </w:pPr>
    </w:p>
    <w:p w14:paraId="1F992C50" w14:textId="3D1CE66E" w:rsidR="00400180" w:rsidRPr="00EF485B" w:rsidRDefault="00825069" w:rsidP="00EF485B">
      <w:pPr>
        <w:pStyle w:val="Geenafstand"/>
      </w:pPr>
      <w:r w:rsidRPr="00EF485B">
        <w:t xml:space="preserve">Undersigned, </w:t>
      </w:r>
      <w:r w:rsidRPr="00961564">
        <w:rPr>
          <w:highlight w:val="yellow"/>
        </w:rPr>
        <w:t>[Company]</w:t>
      </w:r>
      <w:r w:rsidRPr="00EF485B">
        <w:t>,</w:t>
      </w:r>
      <w:r w:rsidR="005742AB" w:rsidRPr="00EF485B">
        <w:t xml:space="preserve"> </w:t>
      </w:r>
      <w:r w:rsidRPr="00EF485B">
        <w:t xml:space="preserve">with registered seat located at </w:t>
      </w:r>
      <w:r w:rsidRPr="00961564">
        <w:rPr>
          <w:highlight w:val="yellow"/>
        </w:rPr>
        <w:t>[Address]</w:t>
      </w:r>
      <w:r w:rsidRPr="00EF485B">
        <w:t xml:space="preserve">, duly represented by </w:t>
      </w:r>
      <w:r w:rsidRPr="00961564">
        <w:rPr>
          <w:highlight w:val="yellow"/>
        </w:rPr>
        <w:t>[</w:t>
      </w:r>
      <w:r w:rsidR="00220DFF" w:rsidRPr="00961564">
        <w:rPr>
          <w:highlight w:val="yellow"/>
        </w:rPr>
        <w:t>Name of Legal Representative]</w:t>
      </w:r>
      <w:r w:rsidRPr="00EF485B">
        <w:t xml:space="preserve">, confirms it is strongly interested in the technology development </w:t>
      </w:r>
      <w:r w:rsidR="00216DBE" w:rsidRPr="00EF485B">
        <w:t xml:space="preserve">within </w:t>
      </w:r>
      <w:r w:rsidRPr="00EF485B">
        <w:t xml:space="preserve">the </w:t>
      </w:r>
      <w:r w:rsidR="00CD4691">
        <w:t>M</w:t>
      </w:r>
      <w:r w:rsidR="00B56212" w:rsidRPr="00EF485B">
        <w:t>oonshot research trajectory</w:t>
      </w:r>
      <w:r w:rsidR="002B4675" w:rsidRPr="00EF485B">
        <w:t xml:space="preserve"> </w:t>
      </w:r>
      <w:r w:rsidR="00185D82" w:rsidRPr="00EF485B">
        <w:t xml:space="preserve">Biobased </w:t>
      </w:r>
      <w:r w:rsidR="00FE62BC" w:rsidRPr="00EF485B">
        <w:t>C</w:t>
      </w:r>
      <w:r w:rsidR="00185D82" w:rsidRPr="00EF485B">
        <w:t>hem</w:t>
      </w:r>
      <w:r w:rsidR="00110B31" w:rsidRPr="00EF485B">
        <w:t>istry</w:t>
      </w:r>
      <w:r w:rsidR="00152BFF" w:rsidRPr="00EF485B">
        <w:t xml:space="preserve"> </w:t>
      </w:r>
      <w:r w:rsidR="00F36099" w:rsidRPr="00EF485B">
        <w:t>(MOT1)</w:t>
      </w:r>
      <w:r w:rsidR="0014721A" w:rsidRPr="00EF485B">
        <w:t>.</w:t>
      </w:r>
    </w:p>
    <w:p w14:paraId="2A977B02" w14:textId="51AF1F50" w:rsidR="00511FF9" w:rsidRPr="00A215DB" w:rsidRDefault="00511FF9" w:rsidP="00EF485B">
      <w:pPr>
        <w:pStyle w:val="Geenafstand"/>
      </w:pPr>
    </w:p>
    <w:p w14:paraId="5B7C4D36" w14:textId="44DB77A0" w:rsidR="003B2AFB" w:rsidRPr="0093645A" w:rsidRDefault="003B2AFB" w:rsidP="0093645A">
      <w:pPr>
        <w:pStyle w:val="Kop2"/>
      </w:pPr>
      <w:r w:rsidRPr="0093645A">
        <w:t xml:space="preserve">Research trajectory ‘Biobased </w:t>
      </w:r>
      <w:r w:rsidR="00FE62BC" w:rsidRPr="0093645A">
        <w:t>C</w:t>
      </w:r>
      <w:r w:rsidRPr="0093645A">
        <w:t xml:space="preserve">hemistry’ </w:t>
      </w:r>
    </w:p>
    <w:p w14:paraId="4AAB0907" w14:textId="29786893" w:rsidR="003B2AFB" w:rsidRPr="00A215DB" w:rsidRDefault="003B2AFB" w:rsidP="00EF485B">
      <w:pPr>
        <w:pStyle w:val="Geenafstand"/>
      </w:pPr>
      <w:r w:rsidRPr="00A215DB">
        <w:t xml:space="preserve">The first </w:t>
      </w:r>
      <w:r w:rsidR="00607C2A">
        <w:t>M</w:t>
      </w:r>
      <w:r w:rsidR="00385A1D" w:rsidRPr="00A215DB">
        <w:t>oonshot</w:t>
      </w:r>
      <w:r w:rsidRPr="00A215DB">
        <w:t xml:space="preserve"> research trajectory (MOT1) will provide access to unique and added-value bio-based raw materials, materials and products via biomass. There is an urgent need to offer more sustainable alternatives to the current traditional molecules and materials based on fossil raw materials, in case the current materials will ultimately get burned and cause additional CO</w:t>
      </w:r>
      <w:r w:rsidRPr="00607C2A">
        <w:rPr>
          <w:vertAlign w:val="subscript"/>
        </w:rPr>
        <w:t>2</w:t>
      </w:r>
      <w:r w:rsidRPr="00A215DB">
        <w:t xml:space="preserve"> emissions. Renewable raw materials, combined with more energy-efficient processes, will reduce the CO</w:t>
      </w:r>
      <w:r w:rsidRPr="00607C2A">
        <w:rPr>
          <w:vertAlign w:val="subscript"/>
        </w:rPr>
        <w:t>2</w:t>
      </w:r>
      <w:r w:rsidRPr="00A215DB">
        <w:t xml:space="preserve"> footprint in Flanders. Both biomass waste streams and sustainable primary biomass streams will be converted into renewable basic building blocks in bio-refineries. Inventive new separation processes will make the difference by reducing energy requirements and production costs. The intrinsic functionalities and properties that are present in these natural products are retained and will lead to new, sustainable, safe and improved products that in turn make climate-friendly applications possible. </w:t>
      </w:r>
    </w:p>
    <w:p w14:paraId="33F7C55B" w14:textId="77777777" w:rsidR="003B2AFB" w:rsidRPr="00A215DB" w:rsidRDefault="003B2AFB" w:rsidP="00EF485B">
      <w:pPr>
        <w:pStyle w:val="Geenafstand"/>
      </w:pPr>
    </w:p>
    <w:p w14:paraId="75459125" w14:textId="435B0F9F" w:rsidR="003B2AFB" w:rsidRPr="00A215DB" w:rsidRDefault="003B2AFB" w:rsidP="00EF485B">
      <w:pPr>
        <w:pStyle w:val="Geenafstand"/>
      </w:pPr>
      <w:r w:rsidRPr="00A215DB">
        <w:t>The following objectives will be pursued:</w:t>
      </w:r>
    </w:p>
    <w:p w14:paraId="54F0D892" w14:textId="77777777" w:rsidR="003B2AFB" w:rsidRPr="003B2AFB" w:rsidRDefault="003B2AFB" w:rsidP="00A36036">
      <w:pPr>
        <w:pStyle w:val="Geenafstand"/>
      </w:pPr>
    </w:p>
    <w:p w14:paraId="36B12A7D" w14:textId="099CFEB2" w:rsidR="003B2AFB" w:rsidRPr="003B2AFB" w:rsidRDefault="003B2AFB" w:rsidP="00A36036">
      <w:pPr>
        <w:pStyle w:val="Geenafstand"/>
        <w:numPr>
          <w:ilvl w:val="0"/>
          <w:numId w:val="10"/>
        </w:numPr>
      </w:pPr>
      <w:r w:rsidRPr="003B2AFB">
        <w:t xml:space="preserve">Develop at least 2 new bio-based chemical products up to TRL 6 in Flanders by 2025, followed by at least 2 new products to TRL 6 every 5 years. The new products have at least equivalent functionality/value and/or new functionality with a potential higher added value compared to similar products based on fossil raw materials. </w:t>
      </w:r>
    </w:p>
    <w:p w14:paraId="45B7C1E5" w14:textId="1F66EDAF" w:rsidR="003B2AFB" w:rsidRDefault="003B2AFB" w:rsidP="00A36036">
      <w:pPr>
        <w:pStyle w:val="Geenafstand"/>
        <w:numPr>
          <w:ilvl w:val="0"/>
          <w:numId w:val="10"/>
        </w:numPr>
      </w:pPr>
      <w:r w:rsidRPr="003B2AFB">
        <w:t xml:space="preserve">The products and processes will be more sustainable (carbon footprint, environmental impact) than their fossil-based counterparts. </w:t>
      </w:r>
    </w:p>
    <w:p w14:paraId="4AB910C4" w14:textId="77777777" w:rsidR="003B2AFB" w:rsidRPr="00A36036" w:rsidRDefault="003B2AFB" w:rsidP="00A36036">
      <w:pPr>
        <w:pStyle w:val="Geenafstand"/>
      </w:pPr>
    </w:p>
    <w:p w14:paraId="359648C8" w14:textId="4DEE2E27" w:rsidR="003B2AFB" w:rsidRDefault="003B2AFB" w:rsidP="00A36036">
      <w:pPr>
        <w:pStyle w:val="Geenafstand"/>
      </w:pPr>
      <w:r w:rsidRPr="003B2AFB">
        <w:t xml:space="preserve">Within the following preconditions: </w:t>
      </w:r>
    </w:p>
    <w:p w14:paraId="456D7259" w14:textId="77777777" w:rsidR="003B2AFB" w:rsidRPr="003B2AFB" w:rsidRDefault="003B2AFB" w:rsidP="00A36036">
      <w:pPr>
        <w:pStyle w:val="Geenafstand"/>
      </w:pPr>
    </w:p>
    <w:p w14:paraId="6172EB48" w14:textId="1382738F" w:rsidR="003B2AFB" w:rsidRPr="003B2AFB" w:rsidRDefault="003B2AFB" w:rsidP="00A36036">
      <w:pPr>
        <w:pStyle w:val="Geenafstand"/>
        <w:numPr>
          <w:ilvl w:val="0"/>
          <w:numId w:val="11"/>
        </w:numPr>
      </w:pPr>
      <w:r w:rsidRPr="003B2AFB">
        <w:t xml:space="preserve">The products are based on stable, competitively priced supply chains/raw materials from the circular use of biomass and rational use of crops. </w:t>
      </w:r>
    </w:p>
    <w:p w14:paraId="10B92611" w14:textId="37E7EE6B" w:rsidR="003B2AFB" w:rsidRPr="003B2AFB" w:rsidRDefault="003B2AFB" w:rsidP="00A36036">
      <w:pPr>
        <w:pStyle w:val="Geenafstand"/>
        <w:numPr>
          <w:ilvl w:val="0"/>
          <w:numId w:val="11"/>
        </w:numPr>
      </w:pPr>
      <w:r w:rsidRPr="003B2AFB">
        <w:t xml:space="preserve">The end products must be able to play an important role in (future) Flemish industrial value chains and have considerable market potential on global scale. </w:t>
      </w:r>
    </w:p>
    <w:p w14:paraId="2F363724" w14:textId="63A7472E" w:rsidR="003B2AFB" w:rsidRDefault="003B2AFB" w:rsidP="00A36036">
      <w:pPr>
        <w:pStyle w:val="Geenafstand"/>
      </w:pPr>
    </w:p>
    <w:p w14:paraId="23629D8F" w14:textId="77777777" w:rsidR="0036403F" w:rsidRDefault="0036403F" w:rsidP="00A36036">
      <w:pPr>
        <w:pStyle w:val="Geenafstand"/>
      </w:pPr>
    </w:p>
    <w:p w14:paraId="097CE65E" w14:textId="77777777" w:rsidR="006A7687" w:rsidRDefault="006A7687" w:rsidP="006A7687">
      <w:pPr>
        <w:pStyle w:val="Geenafstand"/>
        <w:rPr>
          <w:lang w:val="en-US"/>
        </w:rPr>
      </w:pPr>
      <w:r w:rsidRPr="005742AB">
        <w:rPr>
          <w:highlight w:val="yellow"/>
          <w:lang w:val="en-US"/>
        </w:rPr>
        <w:t>[Company]</w:t>
      </w:r>
      <w:r>
        <w:rPr>
          <w:lang w:val="en-US"/>
        </w:rPr>
        <w:t xml:space="preserve"> is interested in this Moonshot research trajectory because …</w:t>
      </w:r>
    </w:p>
    <w:p w14:paraId="4709ED52" w14:textId="77777777" w:rsidR="00147529" w:rsidRDefault="00147529" w:rsidP="00147529">
      <w:pPr>
        <w:spacing w:after="0" w:line="240" w:lineRule="auto"/>
        <w:jc w:val="both"/>
        <w:rPr>
          <w:rFonts w:ascii="Arial" w:hAnsi="Arial" w:cs="Arial"/>
          <w:color w:val="083756"/>
          <w:spacing w:val="22"/>
          <w:sz w:val="20"/>
          <w:szCs w:val="20"/>
          <w:lang w:val="en-US"/>
        </w:rPr>
      </w:pPr>
    </w:p>
    <w:p w14:paraId="56079AA1" w14:textId="77777777" w:rsidR="000321B7" w:rsidRDefault="000321B7" w:rsidP="000321B7">
      <w:pPr>
        <w:pStyle w:val="Geenafstand"/>
        <w:rPr>
          <w:i/>
          <w:iCs/>
          <w:lang w:val="en-US"/>
        </w:rPr>
      </w:pPr>
      <w:r w:rsidRPr="001C3989">
        <w:rPr>
          <w:i/>
          <w:iCs/>
          <w:highlight w:val="yellow"/>
          <w:lang w:val="en-US"/>
        </w:rPr>
        <w:t>Please describe</w:t>
      </w:r>
      <w:r>
        <w:rPr>
          <w:i/>
          <w:iCs/>
          <w:highlight w:val="yellow"/>
          <w:lang w:val="en-US"/>
        </w:rPr>
        <w:t xml:space="preserve">, </w:t>
      </w:r>
      <w:r w:rsidRPr="001C3989">
        <w:rPr>
          <w:i/>
          <w:iCs/>
          <w:highlight w:val="yellow"/>
          <w:lang w:val="en-US"/>
        </w:rPr>
        <w:t>as detailed as possible</w:t>
      </w:r>
      <w:r>
        <w:rPr>
          <w:i/>
          <w:iCs/>
          <w:highlight w:val="yellow"/>
          <w:lang w:val="en-US"/>
        </w:rPr>
        <w:t>,</w:t>
      </w:r>
      <w:r w:rsidRPr="001C3989">
        <w:rPr>
          <w:i/>
          <w:iCs/>
          <w:highlight w:val="yellow"/>
          <w:lang w:val="en-US"/>
        </w:rPr>
        <w:t xml:space="preserve"> the interest of your company in this </w:t>
      </w:r>
      <w:r>
        <w:rPr>
          <w:i/>
          <w:iCs/>
          <w:highlight w:val="yellow"/>
          <w:lang w:val="en-US"/>
        </w:rPr>
        <w:t>M</w:t>
      </w:r>
      <w:r w:rsidRPr="001C3989">
        <w:rPr>
          <w:i/>
          <w:iCs/>
          <w:highlight w:val="yellow"/>
          <w:lang w:val="en-US"/>
        </w:rPr>
        <w:t>oonshot research trajectory.</w:t>
      </w:r>
    </w:p>
    <w:p w14:paraId="65A240D6" w14:textId="77777777" w:rsidR="00147529" w:rsidRPr="001C3989" w:rsidRDefault="00147529" w:rsidP="00147529">
      <w:pPr>
        <w:spacing w:after="0" w:line="240" w:lineRule="auto"/>
        <w:jc w:val="both"/>
        <w:rPr>
          <w:rFonts w:ascii="Arial" w:hAnsi="Arial" w:cs="Arial"/>
          <w:i/>
          <w:iCs/>
          <w:color w:val="083756"/>
          <w:spacing w:val="22"/>
          <w:sz w:val="18"/>
          <w:szCs w:val="18"/>
          <w:lang w:val="en-US"/>
        </w:rPr>
      </w:pPr>
    </w:p>
    <w:p w14:paraId="797CFDA3" w14:textId="77777777" w:rsidR="00147529" w:rsidRDefault="00147529" w:rsidP="00152BFF">
      <w:pPr>
        <w:spacing w:after="0" w:line="240" w:lineRule="auto"/>
        <w:jc w:val="both"/>
        <w:rPr>
          <w:rFonts w:ascii="Arial" w:hAnsi="Arial" w:cs="Arial"/>
          <w:color w:val="083756"/>
          <w:spacing w:val="22"/>
          <w:sz w:val="20"/>
          <w:szCs w:val="20"/>
          <w:lang w:val="en-US"/>
        </w:rPr>
      </w:pPr>
    </w:p>
    <w:p w14:paraId="3368F455" w14:textId="6999D95B" w:rsidR="00561A26" w:rsidRPr="00F00A5E" w:rsidRDefault="00561A26" w:rsidP="00561A26">
      <w:pPr>
        <w:pStyle w:val="Geenafstand"/>
      </w:pPr>
      <w:r w:rsidRPr="00F00A5E">
        <w:t xml:space="preserve">In addition, </w:t>
      </w:r>
      <w:r w:rsidRPr="00F00A5E">
        <w:rPr>
          <w:highlight w:val="yellow"/>
        </w:rPr>
        <w:t>[Company]</w:t>
      </w:r>
      <w:r w:rsidRPr="00F00A5E">
        <w:t xml:space="preserve"> is interested in the following Moonshot cSBO project</w:t>
      </w:r>
      <w:r>
        <w:t>(s)</w:t>
      </w:r>
      <w:r w:rsidRPr="00F00A5E">
        <w:t xml:space="preserve"> within the Biobased Chemistry research trajectory:</w:t>
      </w:r>
    </w:p>
    <w:p w14:paraId="073AFFDC" w14:textId="78CAE22A" w:rsidR="003B2AFB" w:rsidRPr="00561A26" w:rsidRDefault="003B2AFB" w:rsidP="00152BFF">
      <w:pPr>
        <w:spacing w:after="0" w:line="240" w:lineRule="auto"/>
        <w:jc w:val="both"/>
        <w:rPr>
          <w:rFonts w:ascii="Arial" w:hAnsi="Arial" w:cs="Arial"/>
          <w:color w:val="083756"/>
          <w:spacing w:val="22"/>
          <w:sz w:val="20"/>
          <w:szCs w:val="20"/>
          <w:lang w:val="en-GB"/>
        </w:rPr>
      </w:pPr>
    </w:p>
    <w:p w14:paraId="09BEF058" w14:textId="3DC2E970" w:rsidR="003B2AFB" w:rsidRPr="005A0113" w:rsidRDefault="003B2AFB" w:rsidP="005A0113">
      <w:pPr>
        <w:pStyle w:val="Geenafstand"/>
        <w:rPr>
          <w:i/>
          <w:iCs/>
          <w:highlight w:val="yellow"/>
          <w:lang w:val="en-US"/>
        </w:rPr>
      </w:pPr>
      <w:r w:rsidRPr="005A0113">
        <w:rPr>
          <w:i/>
          <w:iCs/>
          <w:highlight w:val="yellow"/>
          <w:lang w:val="en-US"/>
        </w:rPr>
        <w:t xml:space="preserve">Please indicate </w:t>
      </w:r>
      <w:r w:rsidR="005A0113" w:rsidRPr="005A0113">
        <w:rPr>
          <w:i/>
          <w:iCs/>
          <w:highlight w:val="yellow"/>
          <w:lang w:val="en-US"/>
        </w:rPr>
        <w:t xml:space="preserve">below </w:t>
      </w:r>
      <w:r w:rsidRPr="005A0113">
        <w:rPr>
          <w:i/>
          <w:iCs/>
          <w:highlight w:val="yellow"/>
          <w:lang w:val="en-US"/>
        </w:rPr>
        <w:t>in which project(s) your company is interested by deleting or removing the project(s) that is/are not of interest to your company.</w:t>
      </w:r>
    </w:p>
    <w:p w14:paraId="3CEA04E7" w14:textId="362F604F" w:rsidR="003B2AFB" w:rsidRDefault="003B2AFB" w:rsidP="00152BFF">
      <w:pPr>
        <w:spacing w:after="0" w:line="240" w:lineRule="auto"/>
        <w:jc w:val="both"/>
        <w:rPr>
          <w:rFonts w:ascii="Arial" w:hAnsi="Arial" w:cs="Arial"/>
          <w:color w:val="083756"/>
          <w:spacing w:val="22"/>
          <w:sz w:val="20"/>
          <w:szCs w:val="20"/>
          <w:lang w:val="en-US"/>
        </w:rPr>
      </w:pPr>
    </w:p>
    <w:p w14:paraId="6E06E60C" w14:textId="539EDA9A" w:rsidR="00A419C7" w:rsidRPr="00860328" w:rsidRDefault="005C574A" w:rsidP="00A419C7">
      <w:pPr>
        <w:pStyle w:val="Geenafstand"/>
        <w:numPr>
          <w:ilvl w:val="0"/>
          <w:numId w:val="12"/>
        </w:numPr>
        <w:rPr>
          <w:lang w:val="en-US"/>
        </w:rPr>
      </w:pPr>
      <w:r>
        <w:rPr>
          <w:b/>
          <w:bCs/>
          <w:lang w:val="en-US"/>
        </w:rPr>
        <w:t>AC2GEN</w:t>
      </w:r>
      <w:r w:rsidR="002D79ED">
        <w:rPr>
          <w:b/>
          <w:bCs/>
          <w:lang w:val="en-US"/>
        </w:rPr>
        <w:t>:</w:t>
      </w:r>
      <w:r w:rsidR="00B74AAA">
        <w:rPr>
          <w:lang w:val="en-US"/>
        </w:rPr>
        <w:t xml:space="preserve"> </w:t>
      </w:r>
      <w:r w:rsidR="00A419C7" w:rsidRPr="00B74AAA">
        <w:rPr>
          <w:b/>
          <w:bCs/>
        </w:rPr>
        <w:t>Acrylates from 2nd generation sugars: a powerful combination of fermentation, catalysis, and CO</w:t>
      </w:r>
      <w:r w:rsidR="00A419C7" w:rsidRPr="00B74AAA">
        <w:rPr>
          <w:b/>
          <w:bCs/>
          <w:vertAlign w:val="subscript"/>
        </w:rPr>
        <w:t>2</w:t>
      </w:r>
      <w:r w:rsidR="00A419C7" w:rsidRPr="00B74AAA">
        <w:rPr>
          <w:b/>
          <w:bCs/>
        </w:rPr>
        <w:t xml:space="preserve"> recycling</w:t>
      </w:r>
      <w:r w:rsidR="00A419C7">
        <w:t xml:space="preserve">, full cSBO with a proposed starting date on </w:t>
      </w:r>
      <w:r w:rsidR="00FC01B6">
        <w:t>1 January 2022</w:t>
      </w:r>
      <w:r w:rsidR="000668F4">
        <w:t xml:space="preserve"> and a proposed duration of </w:t>
      </w:r>
      <w:r w:rsidR="00E62B12">
        <w:t>48 months</w:t>
      </w:r>
      <w:r w:rsidR="00B74AAA">
        <w:t xml:space="preserve">, with research partners BBEPP, KU Leuven, UAntwerpen and VITO. </w:t>
      </w:r>
      <w:r w:rsidR="000668F4">
        <w:t xml:space="preserve"> </w:t>
      </w:r>
    </w:p>
    <w:p w14:paraId="044C74A9" w14:textId="584F9B13" w:rsidR="00AE67B0" w:rsidRPr="00AE67B0" w:rsidRDefault="005C574A" w:rsidP="00AE67B0">
      <w:pPr>
        <w:pStyle w:val="Geenafstand"/>
        <w:numPr>
          <w:ilvl w:val="0"/>
          <w:numId w:val="12"/>
        </w:numPr>
      </w:pPr>
      <w:r>
        <w:rPr>
          <w:b/>
          <w:bCs/>
          <w:lang w:val="en-US"/>
        </w:rPr>
        <w:t>Bio-Acrylates</w:t>
      </w:r>
      <w:r w:rsidR="002D79ED">
        <w:rPr>
          <w:b/>
          <w:bCs/>
          <w:lang w:val="en-US"/>
        </w:rPr>
        <w:t>:</w:t>
      </w:r>
      <w:r w:rsidR="00AE67B0">
        <w:rPr>
          <w:b/>
          <w:bCs/>
          <w:lang w:val="en-US"/>
        </w:rPr>
        <w:t xml:space="preserve"> </w:t>
      </w:r>
      <w:r w:rsidR="00AE67B0" w:rsidRPr="00AE67B0">
        <w:rPr>
          <w:b/>
          <w:bCs/>
        </w:rPr>
        <w:t>Bio-acrylates from biomass via polymeric 3-hydroxypropionic acid</w:t>
      </w:r>
      <w:r w:rsidR="00AE67B0">
        <w:t xml:space="preserve">, full cSBO with a proposed starting date on </w:t>
      </w:r>
      <w:r w:rsidR="00FC01B6">
        <w:t>1 January 2022</w:t>
      </w:r>
      <w:r w:rsidR="00AE67B0">
        <w:t xml:space="preserve"> and a proposed duration of</w:t>
      </w:r>
      <w:r w:rsidR="00C83DFC">
        <w:t xml:space="preserve"> 48 months, with research partners </w:t>
      </w:r>
      <w:r w:rsidR="00364E5E">
        <w:t xml:space="preserve">UGent, BBEPP and KU Leuven. </w:t>
      </w:r>
    </w:p>
    <w:p w14:paraId="79FC186E" w14:textId="474A0461" w:rsidR="00AD1505" w:rsidRPr="00AA1A30" w:rsidRDefault="00C55358" w:rsidP="00AD1505">
      <w:pPr>
        <w:pStyle w:val="Geenafstand"/>
        <w:numPr>
          <w:ilvl w:val="0"/>
          <w:numId w:val="12"/>
        </w:numPr>
        <w:rPr>
          <w:b/>
          <w:bCs/>
        </w:rPr>
      </w:pPr>
      <w:r>
        <w:rPr>
          <w:b/>
          <w:bCs/>
          <w:lang w:val="en-US"/>
        </w:rPr>
        <w:lastRenderedPageBreak/>
        <w:t>WODCA:</w:t>
      </w:r>
      <w:r w:rsidR="00FF3494" w:rsidRPr="00FF3494">
        <w:rPr>
          <w:b/>
          <w:bCs/>
        </w:rPr>
        <w:t xml:space="preserve"> Waste oil to long-chain dicarboxylic acids</w:t>
      </w:r>
      <w:r w:rsidR="00764AF3">
        <w:t xml:space="preserve">, full cSBO with a proposed starting date on </w:t>
      </w:r>
      <w:r w:rsidR="00FC01B6">
        <w:t>1 January 2022</w:t>
      </w:r>
      <w:r w:rsidR="00764AF3">
        <w:t xml:space="preserve"> and a proposed duration of 48 months, with research partners </w:t>
      </w:r>
      <w:r w:rsidR="00AA1A30">
        <w:t xml:space="preserve">UAntwerpen, UGent and VITO. </w:t>
      </w:r>
    </w:p>
    <w:p w14:paraId="42854D38" w14:textId="7BC436D6" w:rsidR="00B22D4C" w:rsidRPr="00325D5E" w:rsidRDefault="00B22D4C" w:rsidP="00B22D4C">
      <w:pPr>
        <w:pStyle w:val="Geenafstand"/>
        <w:numPr>
          <w:ilvl w:val="0"/>
          <w:numId w:val="12"/>
        </w:numPr>
        <w:rPr>
          <w:lang w:val="en-US"/>
        </w:rPr>
      </w:pPr>
      <w:r w:rsidRPr="00325D5E">
        <w:rPr>
          <w:b/>
          <w:bCs/>
          <w:lang w:val="en-US"/>
        </w:rPr>
        <w:t>PADDL</w:t>
      </w:r>
      <w:r w:rsidR="001B4097">
        <w:rPr>
          <w:b/>
          <w:bCs/>
          <w:lang w:val="en-US"/>
        </w:rPr>
        <w:t>-</w:t>
      </w:r>
      <w:r w:rsidRPr="00325D5E">
        <w:rPr>
          <w:b/>
          <w:bCs/>
          <w:lang w:val="en-US"/>
        </w:rPr>
        <w:t>2: Polymer additives from lignin building blocks II</w:t>
      </w:r>
      <w:r w:rsidRPr="00325D5E">
        <w:rPr>
          <w:lang w:val="en-US"/>
        </w:rPr>
        <w:t>, full cSBO with a proposed starting date on 1 December 2021 and a proposed duration of 30 months, with research partners UAntwerpen, KU Leuven, Centexbel and VITO.</w:t>
      </w:r>
      <w:r>
        <w:rPr>
          <w:lang w:val="en-US"/>
        </w:rPr>
        <w:t xml:space="preserve"> Follow-up project of the currently running Moonshot </w:t>
      </w:r>
      <w:r w:rsidR="001B4097">
        <w:rPr>
          <w:lang w:val="en-US"/>
        </w:rPr>
        <w:t xml:space="preserve">sprint </w:t>
      </w:r>
      <w:r>
        <w:rPr>
          <w:lang w:val="en-US"/>
        </w:rPr>
        <w:t>cSBO project PADDL (</w:t>
      </w:r>
      <w:hyperlink r:id="rId11" w:history="1">
        <w:r w:rsidR="001B4097" w:rsidRPr="001B4097">
          <w:rPr>
            <w:rStyle w:val="Hyperlink"/>
            <w:color w:val="35B09C"/>
            <w:lang w:val="en-US"/>
          </w:rPr>
          <w:t>https://moonshotflanders.be/mot1-paddl/</w:t>
        </w:r>
      </w:hyperlink>
      <w:r w:rsidR="001B4097">
        <w:rPr>
          <w:lang w:val="en-US"/>
        </w:rPr>
        <w:t xml:space="preserve">). </w:t>
      </w:r>
    </w:p>
    <w:p w14:paraId="528E9209" w14:textId="77777777" w:rsidR="00B22D4C" w:rsidRPr="00152BFF" w:rsidRDefault="00B22D4C" w:rsidP="00152BFF">
      <w:pPr>
        <w:spacing w:after="0" w:line="240" w:lineRule="auto"/>
        <w:jc w:val="both"/>
        <w:rPr>
          <w:rFonts w:ascii="Arial" w:hAnsi="Arial" w:cs="Arial"/>
          <w:color w:val="083756"/>
          <w:spacing w:val="22"/>
          <w:sz w:val="20"/>
          <w:szCs w:val="20"/>
          <w:lang w:val="en-US"/>
        </w:rPr>
      </w:pPr>
    </w:p>
    <w:p w14:paraId="0BD9BA20" w14:textId="77777777" w:rsidR="00584D8F" w:rsidRDefault="00584D8F" w:rsidP="00825069">
      <w:pPr>
        <w:spacing w:after="0" w:line="240" w:lineRule="auto"/>
        <w:jc w:val="both"/>
        <w:rPr>
          <w:rFonts w:ascii="Arial" w:hAnsi="Arial" w:cs="Arial"/>
          <w:color w:val="083756"/>
          <w:spacing w:val="22"/>
          <w:sz w:val="20"/>
          <w:szCs w:val="20"/>
          <w:lang w:val="en-US"/>
        </w:rPr>
      </w:pPr>
    </w:p>
    <w:p w14:paraId="4E3495A1" w14:textId="07A1C788" w:rsidR="009A3557" w:rsidRPr="00F00A5E" w:rsidRDefault="009A3557" w:rsidP="009A3557">
      <w:pPr>
        <w:pStyle w:val="Geenafstand"/>
      </w:pPr>
      <w:r w:rsidRPr="00F00A5E">
        <w:rPr>
          <w:highlight w:val="yellow"/>
        </w:rPr>
        <w:t>[Company]</w:t>
      </w:r>
      <w:r w:rsidRPr="00F00A5E">
        <w:t xml:space="preserve"> is interested in this</w:t>
      </w:r>
      <w:r>
        <w:t>/these</w:t>
      </w:r>
      <w:r w:rsidRPr="00F00A5E">
        <w:t xml:space="preserve"> Moonshot project</w:t>
      </w:r>
      <w:r>
        <w:t>(s)</w:t>
      </w:r>
      <w:r w:rsidRPr="00F00A5E">
        <w:t xml:space="preserve"> because …</w:t>
      </w:r>
    </w:p>
    <w:p w14:paraId="0D99CCC1" w14:textId="6050CDDF" w:rsidR="0029455B" w:rsidRPr="009A3557" w:rsidRDefault="0029455B" w:rsidP="00147529">
      <w:pPr>
        <w:spacing w:after="0" w:line="240" w:lineRule="auto"/>
        <w:jc w:val="both"/>
        <w:rPr>
          <w:rFonts w:ascii="Arial" w:hAnsi="Arial" w:cs="Arial"/>
          <w:color w:val="083756"/>
          <w:spacing w:val="22"/>
          <w:sz w:val="20"/>
          <w:szCs w:val="20"/>
          <w:lang w:val="en-GB"/>
        </w:rPr>
      </w:pPr>
    </w:p>
    <w:p w14:paraId="7DC4A622" w14:textId="77777777" w:rsidR="00E874CE" w:rsidRDefault="00E874CE" w:rsidP="00E874CE">
      <w:pPr>
        <w:pStyle w:val="Geenafstand"/>
        <w:rPr>
          <w:i/>
          <w:iCs/>
          <w:highlight w:val="yellow"/>
        </w:rPr>
      </w:pPr>
      <w:r>
        <w:rPr>
          <w:i/>
          <w:iCs/>
          <w:highlight w:val="yellow"/>
        </w:rPr>
        <w:t>Please describe, as detailed as possible, and for each of the projects in which you are interested individually, how this project fits in your company’s innovation roadmap. Additionally, please describe how the project results could contribute to your company’s present and future activities.</w:t>
      </w:r>
    </w:p>
    <w:p w14:paraId="7CB70A8A" w14:textId="1904C637" w:rsidR="0085389E" w:rsidRDefault="0085389E" w:rsidP="00147529">
      <w:pPr>
        <w:spacing w:after="0" w:line="240" w:lineRule="auto"/>
        <w:jc w:val="both"/>
        <w:rPr>
          <w:rFonts w:ascii="Arial" w:hAnsi="Arial" w:cs="Arial"/>
          <w:color w:val="083756"/>
          <w:spacing w:val="22"/>
          <w:sz w:val="20"/>
          <w:szCs w:val="20"/>
          <w:lang w:val="en-GB"/>
        </w:rPr>
      </w:pPr>
    </w:p>
    <w:p w14:paraId="6734ED77" w14:textId="77777777" w:rsidR="00ED7CD0" w:rsidRPr="0092271D" w:rsidRDefault="00ED7CD0" w:rsidP="00147529">
      <w:pPr>
        <w:spacing w:after="0" w:line="240" w:lineRule="auto"/>
        <w:jc w:val="both"/>
        <w:rPr>
          <w:rFonts w:ascii="Arial" w:hAnsi="Arial" w:cs="Arial"/>
          <w:color w:val="083756"/>
          <w:spacing w:val="22"/>
          <w:sz w:val="20"/>
          <w:szCs w:val="20"/>
          <w:lang w:val="en-GB"/>
        </w:rPr>
      </w:pPr>
    </w:p>
    <w:p w14:paraId="7600EE5E" w14:textId="7517B279" w:rsidR="00261515" w:rsidRPr="00F00A5E" w:rsidRDefault="00261515" w:rsidP="00261515">
      <w:pPr>
        <w:pStyle w:val="Geenafstand"/>
      </w:pPr>
      <w:r w:rsidRPr="00F00A5E">
        <w:t>The next steps after this</w:t>
      </w:r>
      <w:r>
        <w:t>/these</w:t>
      </w:r>
      <w:r w:rsidRPr="00F00A5E">
        <w:t xml:space="preserve"> Moonshot project</w:t>
      </w:r>
      <w:r>
        <w:t>(s)</w:t>
      </w:r>
      <w:r w:rsidRPr="00F00A5E">
        <w:t xml:space="preserve"> are …</w:t>
      </w:r>
    </w:p>
    <w:p w14:paraId="238C1F28" w14:textId="77777777" w:rsidR="00147529" w:rsidRPr="00261515" w:rsidRDefault="00147529" w:rsidP="00147529">
      <w:pPr>
        <w:spacing w:after="0" w:line="240" w:lineRule="auto"/>
        <w:jc w:val="both"/>
        <w:rPr>
          <w:rFonts w:ascii="Arial" w:hAnsi="Arial" w:cs="Arial"/>
          <w:color w:val="083756"/>
          <w:spacing w:val="22"/>
          <w:sz w:val="20"/>
          <w:szCs w:val="20"/>
          <w:lang w:val="en-GB"/>
        </w:rPr>
      </w:pPr>
    </w:p>
    <w:p w14:paraId="580BA415" w14:textId="77777777" w:rsidR="00381D57" w:rsidRDefault="00381D57" w:rsidP="00381D57">
      <w:pPr>
        <w:pStyle w:val="Geenafstand"/>
        <w:rPr>
          <w:i/>
          <w:iCs/>
          <w:highlight w:val="yellow"/>
        </w:rPr>
      </w:pPr>
      <w:r>
        <w:rPr>
          <w:i/>
          <w:iCs/>
          <w:highlight w:val="yellow"/>
        </w:rPr>
        <w:t xml:space="preserve">Please describe step-by-step, as detailed as possible, and for each of the projects in which you are interested individually, how your company will organise follow-up activities for implementation and valorisation of the project results. </w:t>
      </w:r>
    </w:p>
    <w:p w14:paraId="749AFC33" w14:textId="7486E4FD" w:rsidR="0085389E" w:rsidRDefault="0085389E" w:rsidP="00825069">
      <w:pPr>
        <w:spacing w:after="0" w:line="240" w:lineRule="auto"/>
        <w:jc w:val="both"/>
        <w:rPr>
          <w:rFonts w:ascii="Arial" w:hAnsi="Arial" w:cs="Arial"/>
          <w:color w:val="083756"/>
          <w:spacing w:val="22"/>
          <w:sz w:val="20"/>
          <w:szCs w:val="20"/>
          <w:lang w:val="en-GB"/>
        </w:rPr>
      </w:pPr>
    </w:p>
    <w:p w14:paraId="760BBA4A" w14:textId="77777777" w:rsidR="00ED7CD0" w:rsidRPr="00311B0F" w:rsidRDefault="00ED7CD0" w:rsidP="00825069">
      <w:pPr>
        <w:spacing w:after="0" w:line="240" w:lineRule="auto"/>
        <w:jc w:val="both"/>
        <w:rPr>
          <w:rFonts w:ascii="Arial" w:hAnsi="Arial" w:cs="Arial"/>
          <w:color w:val="083756"/>
          <w:spacing w:val="22"/>
          <w:sz w:val="20"/>
          <w:szCs w:val="20"/>
          <w:lang w:val="en-GB"/>
        </w:rPr>
      </w:pPr>
    </w:p>
    <w:p w14:paraId="5EC722DB" w14:textId="100B803B" w:rsidR="00EF76A0" w:rsidRDefault="00EF76A0" w:rsidP="00EF76A0">
      <w:pPr>
        <w:pStyle w:val="Geenafstand"/>
        <w:rPr>
          <w:lang w:val="en-US"/>
        </w:rPr>
      </w:pPr>
      <w:r w:rsidRPr="005742AB">
        <w:rPr>
          <w:highlight w:val="yellow"/>
          <w:lang w:val="en-US"/>
        </w:rPr>
        <w:t>[Company]</w:t>
      </w:r>
      <w:r>
        <w:rPr>
          <w:lang w:val="en-US"/>
        </w:rPr>
        <w:t xml:space="preserve"> engages to actively follow up on the </w:t>
      </w:r>
      <w:r w:rsidRPr="00F00A5E">
        <w:rPr>
          <w:lang w:val="en-US"/>
        </w:rPr>
        <w:t>Moonshot</w:t>
      </w:r>
      <w:r>
        <w:rPr>
          <w:lang w:val="en-US"/>
        </w:rPr>
        <w:t xml:space="preserve"> research trajectory and/or the project(s) of interest and to take part in Advisory Board meetings.</w:t>
      </w:r>
      <w:r w:rsidRPr="00F66136">
        <w:rPr>
          <w:lang w:val="en-US"/>
        </w:rPr>
        <w:t xml:space="preserve"> </w:t>
      </w:r>
    </w:p>
    <w:p w14:paraId="2953B4F2" w14:textId="73F88DC0" w:rsidR="00121807" w:rsidRDefault="00121807" w:rsidP="00825069">
      <w:pPr>
        <w:spacing w:after="0" w:line="240" w:lineRule="auto"/>
        <w:jc w:val="both"/>
        <w:rPr>
          <w:rFonts w:ascii="Arial" w:hAnsi="Arial" w:cs="Arial"/>
          <w:color w:val="083756"/>
          <w:spacing w:val="22"/>
          <w:sz w:val="20"/>
          <w:szCs w:val="20"/>
          <w:lang w:val="en-US"/>
        </w:rPr>
      </w:pPr>
    </w:p>
    <w:p w14:paraId="6ADC2AD7" w14:textId="5AB01855" w:rsidR="0021421F" w:rsidRDefault="0021421F" w:rsidP="0021421F">
      <w:pPr>
        <w:pStyle w:val="Geenafstand"/>
      </w:pPr>
      <w:r w:rsidRPr="00325D5E">
        <w:t xml:space="preserve">The Moonshot operational team can deliver information about and invitations for these </w:t>
      </w:r>
      <w:r>
        <w:t>A</w:t>
      </w:r>
      <w:r w:rsidRPr="00325D5E">
        <w:t xml:space="preserve">dvisory </w:t>
      </w:r>
      <w:r>
        <w:t>B</w:t>
      </w:r>
      <w:r w:rsidRPr="00325D5E">
        <w:t xml:space="preserve">oard meetings, as well as all other relevant communication related to this Letter of Intent, to </w:t>
      </w:r>
      <w:r w:rsidRPr="00325D5E">
        <w:rPr>
          <w:highlight w:val="yellow"/>
        </w:rPr>
        <w:t>[Name of company employee]</w:t>
      </w:r>
      <w:r w:rsidRPr="00325D5E">
        <w:t xml:space="preserve"> (</w:t>
      </w:r>
      <w:r w:rsidRPr="00325D5E">
        <w:rPr>
          <w:highlight w:val="yellow"/>
        </w:rPr>
        <w:t>[employee email address]</w:t>
      </w:r>
      <w:r w:rsidRPr="00325D5E">
        <w:t xml:space="preserve">), who will act as </w:t>
      </w:r>
      <w:r w:rsidRPr="00325D5E">
        <w:rPr>
          <w:highlight w:val="yellow"/>
        </w:rPr>
        <w:t>[Company]</w:t>
      </w:r>
      <w:r w:rsidRPr="00325D5E">
        <w:t>’s main point of contact within the framework of this Letter of Intent.</w:t>
      </w:r>
    </w:p>
    <w:p w14:paraId="4BF9CDE0" w14:textId="77777777" w:rsidR="005365A8" w:rsidRPr="004C5C27" w:rsidRDefault="005365A8" w:rsidP="005365A8">
      <w:pPr>
        <w:pStyle w:val="Geenafstand"/>
      </w:pPr>
    </w:p>
    <w:p w14:paraId="495BF273" w14:textId="77777777" w:rsidR="005365A8" w:rsidRDefault="005365A8" w:rsidP="005365A8">
      <w:pPr>
        <w:pStyle w:val="Geenafstand"/>
        <w:rPr>
          <w:lang w:val="en-US"/>
        </w:rPr>
      </w:pPr>
    </w:p>
    <w:p w14:paraId="67710B14" w14:textId="77777777" w:rsidR="005365A8" w:rsidRDefault="005365A8" w:rsidP="005365A8">
      <w:pPr>
        <w:pStyle w:val="Geenafstand"/>
        <w:rPr>
          <w:lang w:val="en-US"/>
        </w:rPr>
      </w:pPr>
      <w:r>
        <w:rPr>
          <w:lang w:val="en-US"/>
        </w:rPr>
        <w:t>Sincerely,</w:t>
      </w:r>
    </w:p>
    <w:p w14:paraId="76C2EE48" w14:textId="77777777" w:rsidR="005365A8" w:rsidRDefault="005365A8" w:rsidP="005365A8">
      <w:pPr>
        <w:pStyle w:val="Geenafstand"/>
        <w:rPr>
          <w:lang w:val="en-US"/>
        </w:rPr>
      </w:pPr>
    </w:p>
    <w:p w14:paraId="2F3C2F34" w14:textId="77777777" w:rsidR="005365A8" w:rsidRDefault="005365A8" w:rsidP="005365A8">
      <w:pPr>
        <w:pStyle w:val="Geenafstand"/>
        <w:rPr>
          <w:lang w:val="en-US"/>
        </w:rPr>
      </w:pPr>
    </w:p>
    <w:p w14:paraId="32EB98DC" w14:textId="77777777" w:rsidR="005365A8" w:rsidRDefault="005365A8" w:rsidP="005365A8">
      <w:pPr>
        <w:pStyle w:val="Geenafstand"/>
        <w:rPr>
          <w:lang w:val="en-US"/>
        </w:rPr>
      </w:pPr>
    </w:p>
    <w:p w14:paraId="135407E4" w14:textId="77777777" w:rsidR="005365A8" w:rsidRDefault="005365A8" w:rsidP="005365A8">
      <w:pPr>
        <w:pStyle w:val="Geenafstand"/>
        <w:rPr>
          <w:lang w:val="en-US"/>
        </w:rPr>
      </w:pPr>
    </w:p>
    <w:p w14:paraId="19BF72BF" w14:textId="77777777" w:rsidR="005365A8" w:rsidRDefault="005365A8" w:rsidP="005365A8">
      <w:pPr>
        <w:pStyle w:val="Geenafstand"/>
        <w:rPr>
          <w:lang w:val="en-US"/>
        </w:rPr>
      </w:pPr>
    </w:p>
    <w:p w14:paraId="60A1D6B6" w14:textId="77777777" w:rsidR="005365A8" w:rsidRDefault="005365A8" w:rsidP="005365A8">
      <w:pPr>
        <w:pStyle w:val="Geenafstand"/>
        <w:rPr>
          <w:lang w:val="en-US"/>
        </w:rPr>
      </w:pPr>
    </w:p>
    <w:p w14:paraId="3BB6EF57" w14:textId="77777777" w:rsidR="005365A8" w:rsidRDefault="005365A8" w:rsidP="005365A8">
      <w:pPr>
        <w:pStyle w:val="Geenafstand"/>
        <w:rPr>
          <w:lang w:val="en-US"/>
        </w:rPr>
      </w:pPr>
      <w:r w:rsidRPr="005742AB">
        <w:rPr>
          <w:highlight w:val="yellow"/>
          <w:lang w:val="en-US"/>
        </w:rPr>
        <w:t>[Signature]</w:t>
      </w:r>
    </w:p>
    <w:p w14:paraId="7408B3AB" w14:textId="77777777" w:rsidR="005365A8" w:rsidRDefault="005365A8" w:rsidP="005365A8">
      <w:pPr>
        <w:pStyle w:val="Geenafstand"/>
        <w:rPr>
          <w:lang w:val="en-US"/>
        </w:rPr>
      </w:pPr>
    </w:p>
    <w:p w14:paraId="0CE1A9E0" w14:textId="77777777" w:rsidR="005365A8" w:rsidRPr="005742AB" w:rsidRDefault="005365A8" w:rsidP="005365A8">
      <w:pPr>
        <w:pStyle w:val="Geenafstand"/>
        <w:rPr>
          <w:highlight w:val="yellow"/>
          <w:lang w:val="en-US"/>
        </w:rPr>
      </w:pPr>
      <w:r w:rsidRPr="005742AB">
        <w:rPr>
          <w:highlight w:val="yellow"/>
          <w:lang w:val="en-US"/>
        </w:rPr>
        <w:t>[Name, Function, Company]</w:t>
      </w:r>
    </w:p>
    <w:p w14:paraId="483EA880" w14:textId="77777777" w:rsidR="005365A8" w:rsidRDefault="005365A8" w:rsidP="005365A8">
      <w:pPr>
        <w:pStyle w:val="Geenafstand"/>
        <w:rPr>
          <w:highlight w:val="yellow"/>
          <w:lang w:val="en-US"/>
        </w:rPr>
      </w:pPr>
      <w:r w:rsidRPr="005742AB">
        <w:rPr>
          <w:highlight w:val="yellow"/>
          <w:lang w:val="en-US"/>
        </w:rPr>
        <w:t>[Date]</w:t>
      </w:r>
    </w:p>
    <w:p w14:paraId="1AD2CD02" w14:textId="77777777" w:rsidR="00C62FE6" w:rsidRDefault="00C62FE6">
      <w:pPr>
        <w:rPr>
          <w:rFonts w:ascii="Arial" w:hAnsi="Arial" w:cs="Arial"/>
          <w:color w:val="083756"/>
          <w:spacing w:val="22"/>
          <w:sz w:val="20"/>
          <w:szCs w:val="20"/>
          <w:highlight w:val="yellow"/>
          <w:lang w:val="en-US"/>
        </w:rPr>
      </w:pPr>
      <w:r>
        <w:rPr>
          <w:rFonts w:ascii="Arial" w:hAnsi="Arial" w:cs="Arial"/>
          <w:color w:val="083756"/>
          <w:spacing w:val="22"/>
          <w:sz w:val="20"/>
          <w:szCs w:val="20"/>
          <w:highlight w:val="yellow"/>
          <w:lang w:val="en-US"/>
        </w:rPr>
        <w:br w:type="page"/>
      </w:r>
    </w:p>
    <w:p w14:paraId="5A594DF8" w14:textId="77777777" w:rsidR="00E44F9C" w:rsidRDefault="00AF36DA" w:rsidP="00AF36DA">
      <w:pPr>
        <w:pStyle w:val="Kop2"/>
      </w:pPr>
      <w:r>
        <w:lastRenderedPageBreak/>
        <w:t xml:space="preserve">Abstract </w:t>
      </w:r>
      <w:r w:rsidRPr="00AF36DA">
        <w:t>AC2GEN</w:t>
      </w:r>
    </w:p>
    <w:p w14:paraId="2EC5CE75" w14:textId="475671D2" w:rsidR="00AF36DA" w:rsidRPr="00E44F9C" w:rsidRDefault="00E44F9C" w:rsidP="00E44F9C">
      <w:pPr>
        <w:pStyle w:val="Geenafstand"/>
        <w:rPr>
          <w:b/>
          <w:bCs/>
        </w:rPr>
      </w:pPr>
      <w:r w:rsidRPr="00E44F9C">
        <w:rPr>
          <w:b/>
          <w:bCs/>
        </w:rPr>
        <w:t>Acrylates from 2nd generation sugars: a powerful combination of fermentation, catalysis, and CO</w:t>
      </w:r>
      <w:r w:rsidRPr="00E44F9C">
        <w:rPr>
          <w:b/>
          <w:bCs/>
          <w:vertAlign w:val="subscript"/>
        </w:rPr>
        <w:t>2</w:t>
      </w:r>
      <w:r w:rsidRPr="00E44F9C">
        <w:rPr>
          <w:b/>
          <w:bCs/>
        </w:rPr>
        <w:t xml:space="preserve"> recycling</w:t>
      </w:r>
    </w:p>
    <w:p w14:paraId="1C47A374" w14:textId="77777777" w:rsidR="00AF36DA" w:rsidRDefault="00AF36DA" w:rsidP="00AF36DA">
      <w:pPr>
        <w:pStyle w:val="Geenafstand"/>
      </w:pPr>
    </w:p>
    <w:p w14:paraId="758E204A" w14:textId="2D43C775" w:rsidR="00AF36DA" w:rsidRDefault="00AF36DA" w:rsidP="00AF36DA">
      <w:pPr>
        <w:pStyle w:val="Geenafstand"/>
      </w:pPr>
      <w:r>
        <w:t xml:space="preserve">AC2GEN focuses on </w:t>
      </w:r>
      <w:r w:rsidRPr="00AF36DA">
        <w:t>cost-effective production of acrylates</w:t>
      </w:r>
      <w:r>
        <w:t xml:space="preserve"> from 2G biomass streams</w:t>
      </w:r>
      <w:r w:rsidRPr="00AF36DA">
        <w:t xml:space="preserve"> with maximal CO</w:t>
      </w:r>
      <w:r w:rsidRPr="00AF36DA">
        <w:rPr>
          <w:vertAlign w:val="subscript"/>
        </w:rPr>
        <w:t>2</w:t>
      </w:r>
      <w:r w:rsidRPr="00AF36DA">
        <w:t xml:space="preserve"> abatement</w:t>
      </w:r>
      <w:r>
        <w:t xml:space="preserve">. </w:t>
      </w:r>
    </w:p>
    <w:p w14:paraId="6879A327" w14:textId="77777777" w:rsidR="00AF36DA" w:rsidRDefault="00AF36DA" w:rsidP="00AF36DA">
      <w:pPr>
        <w:spacing w:line="240" w:lineRule="auto"/>
        <w:ind w:left="-142"/>
        <w:jc w:val="both"/>
        <w:rPr>
          <w:lang w:val="en-US"/>
        </w:rPr>
      </w:pPr>
      <w:r>
        <w:rPr>
          <w:noProof/>
          <w:lang w:val="en-US"/>
        </w:rPr>
        <w:drawing>
          <wp:inline distT="0" distB="0" distL="0" distR="0" wp14:anchorId="4FBC6337" wp14:editId="093725D3">
            <wp:extent cx="5943600" cy="1547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5839" cy="1563436"/>
                    </a:xfrm>
                    <a:prstGeom prst="rect">
                      <a:avLst/>
                    </a:prstGeom>
                    <a:noFill/>
                  </pic:spPr>
                </pic:pic>
              </a:graphicData>
            </a:graphic>
          </wp:inline>
        </w:drawing>
      </w:r>
    </w:p>
    <w:p w14:paraId="1D74FB24" w14:textId="03566BB7" w:rsidR="00AF36DA" w:rsidRDefault="00AF36DA" w:rsidP="00AF36DA">
      <w:pPr>
        <w:pStyle w:val="Geenafstand"/>
        <w:rPr>
          <w:lang w:val="en-US"/>
        </w:rPr>
      </w:pPr>
      <w:r w:rsidRPr="00AF36DA">
        <w:rPr>
          <w:b/>
          <w:bCs/>
          <w:lang w:val="en-US"/>
        </w:rPr>
        <w:t>Acrylic acid and its alkyl esters</w:t>
      </w:r>
      <w:r w:rsidRPr="00AF36DA">
        <w:rPr>
          <w:lang w:val="en-US"/>
        </w:rPr>
        <w:t xml:space="preserve"> are </w:t>
      </w:r>
      <w:r>
        <w:t xml:space="preserve">one of the most versatile monomers in the chemical industry with a </w:t>
      </w:r>
      <w:r w:rsidRPr="00FA019A">
        <w:rPr>
          <w:b/>
          <w:bCs/>
        </w:rPr>
        <w:t>global demand of over 6 Mtons</w:t>
      </w:r>
      <w:r>
        <w:t xml:space="preserve"> in 2020 and a market that is expected to reach </w:t>
      </w:r>
      <w:r w:rsidRPr="00FA019A">
        <w:rPr>
          <w:b/>
          <w:bCs/>
        </w:rPr>
        <w:t>16 Bn EUR by 2022</w:t>
      </w:r>
      <w:r>
        <w:t>. They are</w:t>
      </w:r>
      <w:r w:rsidRPr="00AF36DA">
        <w:rPr>
          <w:lang w:val="en-US"/>
        </w:rPr>
        <w:t xml:space="preserve"> used for </w:t>
      </w:r>
      <w:r>
        <w:t xml:space="preserve">the </w:t>
      </w:r>
      <w:r w:rsidRPr="00AF36DA">
        <w:rPr>
          <w:lang w:val="en-US"/>
        </w:rPr>
        <w:t xml:space="preserve">production of various polymers with applications in a large variety of high-performance products such as coatings, paints, adhesives, resins, detergents, </w:t>
      </w:r>
      <w:proofErr w:type="spellStart"/>
      <w:r w:rsidRPr="00AF36DA">
        <w:rPr>
          <w:lang w:val="en-US"/>
        </w:rPr>
        <w:t>fibres</w:t>
      </w:r>
      <w:proofErr w:type="spellEnd"/>
      <w:r w:rsidRPr="00AF36DA">
        <w:rPr>
          <w:lang w:val="en-US"/>
        </w:rPr>
        <w:t>, superabsorbent polymers (SAP), and dispersants</w:t>
      </w:r>
      <w:r>
        <w:rPr>
          <w:lang w:val="en-US"/>
        </w:rPr>
        <w:t>. Currently, almost all acrylic acid is produced from petroleum-based propylene through a two-step gas-phase oxidation process showing a very large CO</w:t>
      </w:r>
      <w:r>
        <w:rPr>
          <w:vertAlign w:val="subscript"/>
          <w:lang w:val="en-US"/>
        </w:rPr>
        <w:t>2</w:t>
      </w:r>
      <w:r>
        <w:rPr>
          <w:lang w:val="en-US"/>
        </w:rPr>
        <w:t xml:space="preserve"> footprint. In the AC2GEN project, we aim for a more sustainable route starting from renewable acetic acid and CO</w:t>
      </w:r>
      <w:r>
        <w:rPr>
          <w:vertAlign w:val="subscript"/>
          <w:lang w:val="en-US"/>
        </w:rPr>
        <w:t>2</w:t>
      </w:r>
      <w:r>
        <w:rPr>
          <w:lang w:val="en-US"/>
        </w:rPr>
        <w:t>-sourced C1 building blocks.</w:t>
      </w:r>
    </w:p>
    <w:p w14:paraId="256F0567" w14:textId="77777777" w:rsidR="00AF36DA" w:rsidRPr="00C93617" w:rsidRDefault="00AF36DA" w:rsidP="00AF36DA">
      <w:pPr>
        <w:pStyle w:val="Geenafstand"/>
        <w:rPr>
          <w:lang w:val="en-US"/>
        </w:rPr>
      </w:pPr>
    </w:p>
    <w:p w14:paraId="2BD3641A" w14:textId="2F2F038E" w:rsidR="00AF36DA" w:rsidRDefault="00AF36DA" w:rsidP="00AF36DA">
      <w:pPr>
        <w:pStyle w:val="Geenafstand"/>
      </w:pPr>
      <w:r>
        <w:t xml:space="preserve">In the recently started Moonshot project FUCATIL, fractionation and pretreatment of </w:t>
      </w:r>
      <w:r w:rsidRPr="00FA019A">
        <w:rPr>
          <w:b/>
          <w:bCs/>
        </w:rPr>
        <w:t xml:space="preserve">2G waste streams </w:t>
      </w:r>
      <w:r>
        <w:t xml:space="preserve">is being optimized to deliver abundantly available, low-cost </w:t>
      </w:r>
      <w:r w:rsidRPr="00FA019A">
        <w:rPr>
          <w:b/>
          <w:bCs/>
        </w:rPr>
        <w:t>fermentation feedstocks</w:t>
      </w:r>
      <w:r>
        <w:t xml:space="preserve">. In AC2GEN, these feedstocks will be used to generate a </w:t>
      </w:r>
      <w:r w:rsidRPr="00FA019A">
        <w:rPr>
          <w:b/>
          <w:bCs/>
        </w:rPr>
        <w:t>continuous acetic acid stream</w:t>
      </w:r>
      <w:r>
        <w:t>, serving as a renewable bulk platform intermediate. Here, an ingenious strategy involving acetogenic fermentation with CO</w:t>
      </w:r>
      <w:r w:rsidRPr="00FA019A">
        <w:rPr>
          <w:vertAlign w:val="subscript"/>
        </w:rPr>
        <w:t>2</w:t>
      </w:r>
      <w:r>
        <w:t xml:space="preserve"> recycling will be elaborated to </w:t>
      </w:r>
      <w:r w:rsidRPr="00FA019A">
        <w:rPr>
          <w:b/>
          <w:bCs/>
        </w:rPr>
        <w:t>maximize carbon efficiency</w:t>
      </w:r>
      <w:r>
        <w:t xml:space="preserve"> and achieve a </w:t>
      </w:r>
      <w:r w:rsidRPr="00FA019A">
        <w:rPr>
          <w:b/>
          <w:bCs/>
        </w:rPr>
        <w:t>50% increase in theoretical yield</w:t>
      </w:r>
      <w:r>
        <w:t xml:space="preserve"> as compared to conventional yeast fermentation processes. Furthermore, </w:t>
      </w:r>
      <w:r w:rsidRPr="00AF36DA">
        <w:rPr>
          <w:b/>
          <w:bCs/>
        </w:rPr>
        <w:t>process intensification</w:t>
      </w:r>
      <w:r w:rsidRPr="00AF36DA">
        <w:t xml:space="preserve"> strategies will further boost productivity. </w:t>
      </w:r>
      <w:r>
        <w:t>Particularly</w:t>
      </w:r>
      <w:r w:rsidRPr="00AF36DA">
        <w:t xml:space="preserve">, simultaneous saccharification and fermentation (SSF) and consolidated bioprocessing (CBP) will be investigated, while </w:t>
      </w:r>
      <w:r w:rsidRPr="00AF36DA">
        <w:rPr>
          <w:i/>
          <w:iCs/>
        </w:rPr>
        <w:t>in situ</w:t>
      </w:r>
      <w:r w:rsidRPr="00AF36DA">
        <w:t xml:space="preserve"> product recovery (ISPR) technologies will be developed aiming at a concentrated acetic acid stream suitable for further catalytic conversion. Finally, advanced process monitoring and control during fermentation, followed by the development of chemometric models, will allow to define the optimal operation mode and process window at minimal (energy) cost.</w:t>
      </w:r>
    </w:p>
    <w:p w14:paraId="39A82ED6" w14:textId="77777777" w:rsidR="00AF36DA" w:rsidRPr="00AF36DA" w:rsidRDefault="00AF36DA" w:rsidP="00AF36DA">
      <w:pPr>
        <w:pStyle w:val="Geenafstand"/>
      </w:pPr>
    </w:p>
    <w:p w14:paraId="67B412FC" w14:textId="04198FD4" w:rsidR="00AF36DA" w:rsidRDefault="00AF36DA" w:rsidP="00AF36DA">
      <w:pPr>
        <w:pStyle w:val="Geenafstand"/>
      </w:pPr>
      <w:r>
        <w:t xml:space="preserve">Starting from the acetic acid product stream, two cutting-edge </w:t>
      </w:r>
      <w:r w:rsidRPr="00FA019A">
        <w:rPr>
          <w:b/>
          <w:bCs/>
        </w:rPr>
        <w:t xml:space="preserve">chemo catalytical </w:t>
      </w:r>
      <w:r w:rsidRPr="00CA4967">
        <w:t>concepts</w:t>
      </w:r>
      <w:r>
        <w:t xml:space="preserve"> will be investigated with the aim of coupling acetic acid to sustainable </w:t>
      </w:r>
      <w:r w:rsidRPr="00FA019A">
        <w:rPr>
          <w:b/>
          <w:bCs/>
        </w:rPr>
        <w:t>CO</w:t>
      </w:r>
      <w:r w:rsidRPr="00FA019A">
        <w:rPr>
          <w:b/>
          <w:bCs/>
          <w:vertAlign w:val="subscript"/>
        </w:rPr>
        <w:t>2</w:t>
      </w:r>
      <w:r w:rsidRPr="00FA019A">
        <w:rPr>
          <w:b/>
          <w:bCs/>
        </w:rPr>
        <w:t xml:space="preserve">-sourced C1 </w:t>
      </w:r>
      <w:r>
        <w:rPr>
          <w:b/>
          <w:bCs/>
        </w:rPr>
        <w:t>building blocks</w:t>
      </w:r>
      <w:r>
        <w:t xml:space="preserve">. Two innovative pathways will be investigated </w:t>
      </w:r>
      <w:r w:rsidRPr="00AF36DA">
        <w:t>with high potential towards acrylates from 2G acetic acid.</w:t>
      </w:r>
      <w:r>
        <w:t xml:space="preserve"> T-While the first route proposes the condensation of biobased acetic acid with </w:t>
      </w:r>
      <w:r w:rsidRPr="00AF36DA">
        <w:rPr>
          <w:b/>
          <w:bCs/>
        </w:rPr>
        <w:t>dimethoxymethane</w:t>
      </w:r>
      <w:r w:rsidRPr="00FA019A">
        <w:rPr>
          <w:b/>
          <w:bCs/>
        </w:rPr>
        <w:t xml:space="preserve"> (DMM)</w:t>
      </w:r>
      <w:r>
        <w:t xml:space="preserve"> as a safer, more sustainable C1 building block as compared to formaldehyde,</w:t>
      </w:r>
      <w:r w:rsidDel="00C97A73">
        <w:t xml:space="preserve"> </w:t>
      </w:r>
      <w:r>
        <w:t xml:space="preserve">the second route involves a novel cascade reaction with </w:t>
      </w:r>
      <w:r w:rsidRPr="00FA019A">
        <w:rPr>
          <w:b/>
          <w:bCs/>
        </w:rPr>
        <w:t>overall 100% carbon efficiency</w:t>
      </w:r>
      <w:r>
        <w:t>, using bio-derived acetic acid and CO</w:t>
      </w:r>
      <w:r w:rsidRPr="00FA019A">
        <w:rPr>
          <w:vertAlign w:val="subscript"/>
        </w:rPr>
        <w:t>2</w:t>
      </w:r>
      <w:r>
        <w:t xml:space="preserve">-sourced </w:t>
      </w:r>
      <w:r w:rsidRPr="00FA019A">
        <w:rPr>
          <w:b/>
          <w:bCs/>
        </w:rPr>
        <w:t>methyl formate</w:t>
      </w:r>
      <w:r>
        <w:t xml:space="preserve"> to generate acrylic acid and derivatives.</w:t>
      </w:r>
    </w:p>
    <w:p w14:paraId="63AF6173" w14:textId="77777777" w:rsidR="00AF36DA" w:rsidRDefault="00AF36DA" w:rsidP="00AF36DA">
      <w:pPr>
        <w:pStyle w:val="Geenafstand"/>
      </w:pPr>
    </w:p>
    <w:p w14:paraId="024929B6" w14:textId="30A7157A" w:rsidR="00AF36DA" w:rsidRDefault="00AF36DA" w:rsidP="00AF36DA">
      <w:pPr>
        <w:pStyle w:val="Geenafstand"/>
      </w:pPr>
      <w:r w:rsidRPr="00AF36DA">
        <w:t>Considering the threefold CO</w:t>
      </w:r>
      <w:r w:rsidRPr="00AF36DA">
        <w:rPr>
          <w:vertAlign w:val="subscript"/>
        </w:rPr>
        <w:t>2</w:t>
      </w:r>
      <w:r w:rsidRPr="00AF36DA">
        <w:t xml:space="preserve"> abatement targeted in AC2GEN, </w:t>
      </w:r>
      <w:r>
        <w:t>this ground-breaking strategy</w:t>
      </w:r>
      <w:r w:rsidRPr="00AF36DA">
        <w:t xml:space="preserve"> would result in a massive </w:t>
      </w:r>
      <w:r w:rsidRPr="00FA019A">
        <w:rPr>
          <w:b/>
          <w:bCs/>
        </w:rPr>
        <w:t xml:space="preserve">6.4 </w:t>
      </w:r>
      <w:r w:rsidRPr="00AF36DA">
        <w:rPr>
          <w:b/>
          <w:bCs/>
        </w:rPr>
        <w:t xml:space="preserve">tons </w:t>
      </w:r>
      <w:r w:rsidRPr="00FA019A">
        <w:rPr>
          <w:b/>
          <w:bCs/>
        </w:rPr>
        <w:t xml:space="preserve">of </w:t>
      </w:r>
      <w:r w:rsidRPr="00AF36DA">
        <w:rPr>
          <w:b/>
          <w:bCs/>
        </w:rPr>
        <w:t>CO</w:t>
      </w:r>
      <w:r w:rsidRPr="00AF36DA">
        <w:rPr>
          <w:b/>
          <w:bCs/>
          <w:vertAlign w:val="subscript"/>
        </w:rPr>
        <w:t>2</w:t>
      </w:r>
      <w:r w:rsidRPr="00AF36DA">
        <w:rPr>
          <w:b/>
          <w:bCs/>
        </w:rPr>
        <w:t xml:space="preserve"> </w:t>
      </w:r>
      <w:r w:rsidRPr="00FA019A">
        <w:rPr>
          <w:b/>
          <w:bCs/>
        </w:rPr>
        <w:t>abated for every ton of acrylates</w:t>
      </w:r>
      <w:r>
        <w:t xml:space="preserve"> produced.</w:t>
      </w:r>
    </w:p>
    <w:p w14:paraId="14EFC58F" w14:textId="4D7AC96D" w:rsidR="001F1ED2" w:rsidRDefault="001F1ED2" w:rsidP="00AF36DA">
      <w:pPr>
        <w:pStyle w:val="Geenafstand"/>
      </w:pPr>
    </w:p>
    <w:p w14:paraId="3FA919E4" w14:textId="77777777" w:rsidR="001F1ED2" w:rsidRDefault="001F1ED2" w:rsidP="001F1ED2">
      <w:pPr>
        <w:pStyle w:val="Geenafstand"/>
        <w:rPr>
          <w:i/>
          <w:iCs/>
        </w:rPr>
      </w:pPr>
      <w:r w:rsidRPr="002373F5">
        <w:rPr>
          <w:i/>
          <w:iCs/>
        </w:rPr>
        <w:t>For substantive questions about this project proposal, please contact MOT1 representative Isabelle Monnaie (</w:t>
      </w:r>
      <w:hyperlink r:id="rId13" w:history="1">
        <w:r w:rsidRPr="00023FD3">
          <w:rPr>
            <w:rStyle w:val="Hyperlink"/>
            <w:i/>
            <w:iCs/>
            <w:color w:val="35B09C"/>
          </w:rPr>
          <w:t>imonnaie@catalisti.be</w:t>
        </w:r>
      </w:hyperlink>
      <w:r w:rsidRPr="002373F5">
        <w:rPr>
          <w:i/>
          <w:iCs/>
        </w:rPr>
        <w:t>; +32 471 506 833).</w:t>
      </w:r>
    </w:p>
    <w:p w14:paraId="7A8E4990" w14:textId="77777777" w:rsidR="001F1ED2" w:rsidRDefault="001F1ED2" w:rsidP="00AF36DA">
      <w:pPr>
        <w:pStyle w:val="Geenafstand"/>
      </w:pPr>
    </w:p>
    <w:p w14:paraId="0D128B75" w14:textId="1B7CC9E5" w:rsidR="00AF36DA" w:rsidRDefault="00AF36DA">
      <w:pPr>
        <w:rPr>
          <w:rFonts w:ascii="Arial" w:hAnsi="Arial"/>
          <w:color w:val="083756"/>
          <w:sz w:val="20"/>
          <w:lang w:val="en-GB"/>
        </w:rPr>
      </w:pPr>
      <w:r w:rsidRPr="001F1ED2">
        <w:rPr>
          <w:lang w:val="en-US"/>
        </w:rPr>
        <w:br w:type="page"/>
      </w:r>
    </w:p>
    <w:p w14:paraId="64980695" w14:textId="77777777" w:rsidR="00E44F9C" w:rsidRDefault="008671AE" w:rsidP="008671AE">
      <w:pPr>
        <w:pStyle w:val="Kop2"/>
      </w:pPr>
      <w:r w:rsidRPr="008671AE">
        <w:lastRenderedPageBreak/>
        <w:t>Abstract Bio-Acrylates</w:t>
      </w:r>
    </w:p>
    <w:p w14:paraId="4AE37DD5" w14:textId="06CC3EF6" w:rsidR="008671AE" w:rsidRPr="00E44F9C" w:rsidRDefault="00E44F9C" w:rsidP="00E44F9C">
      <w:pPr>
        <w:pStyle w:val="Geenafstand"/>
        <w:rPr>
          <w:b/>
          <w:bCs/>
        </w:rPr>
      </w:pPr>
      <w:r w:rsidRPr="00E44F9C">
        <w:rPr>
          <w:b/>
          <w:bCs/>
        </w:rPr>
        <w:t>Bio-acrylates from biomass via polymeric 3-hydroxypropionic acid</w:t>
      </w:r>
    </w:p>
    <w:p w14:paraId="222C6FA4" w14:textId="1DC399E8" w:rsidR="008671AE" w:rsidRDefault="008671AE" w:rsidP="002428FE">
      <w:pPr>
        <w:pStyle w:val="Geenafstand"/>
      </w:pPr>
    </w:p>
    <w:p w14:paraId="5CFF05B6" w14:textId="5AB1FB34" w:rsidR="002428FE" w:rsidRDefault="002428FE" w:rsidP="002428FE">
      <w:pPr>
        <w:pStyle w:val="Geenafstand"/>
        <w:rPr>
          <w:rFonts w:cstheme="minorHAnsi"/>
        </w:rPr>
      </w:pPr>
      <w:r w:rsidRPr="00FD1C5B">
        <w:rPr>
          <w:rFonts w:cstheme="minorHAnsi"/>
        </w:rPr>
        <w:t>Acrylic acid and its alkyl esters are commodity building blocks used for the production of various</w:t>
      </w:r>
      <w:r>
        <w:rPr>
          <w:rFonts w:cstheme="minorHAnsi"/>
        </w:rPr>
        <w:t xml:space="preserve"> </w:t>
      </w:r>
      <w:r w:rsidRPr="00FD1C5B">
        <w:rPr>
          <w:rFonts w:cstheme="minorHAnsi"/>
        </w:rPr>
        <w:t>polymers with applications in a large variety of high-performance products such as coatings, paints,</w:t>
      </w:r>
      <w:r>
        <w:rPr>
          <w:rFonts w:cstheme="minorHAnsi"/>
        </w:rPr>
        <w:t xml:space="preserve"> </w:t>
      </w:r>
      <w:r w:rsidRPr="00FD1C5B">
        <w:rPr>
          <w:rFonts w:cstheme="minorHAnsi"/>
        </w:rPr>
        <w:t>adhesives, ion-exchange resins, detergents, fibres, superabsorbent polymers (SAP), and dispersants. Acrylics are one of the most versatile monomers in the chemical industry with a worldwide demand</w:t>
      </w:r>
      <w:r>
        <w:rPr>
          <w:rFonts w:cstheme="minorHAnsi"/>
        </w:rPr>
        <w:t xml:space="preserve"> </w:t>
      </w:r>
      <w:r w:rsidRPr="00FD1C5B">
        <w:rPr>
          <w:rFonts w:cstheme="minorHAnsi"/>
        </w:rPr>
        <w:t>of about 6.3 Mtons in 2020 and an expected growth of 4.7% CAGR in the coming years. Currently,</w:t>
      </w:r>
      <w:r>
        <w:rPr>
          <w:rFonts w:cstheme="minorHAnsi"/>
        </w:rPr>
        <w:t xml:space="preserve"> </w:t>
      </w:r>
      <w:r w:rsidRPr="00FD1C5B">
        <w:rPr>
          <w:rFonts w:cstheme="minorHAnsi"/>
        </w:rPr>
        <w:t>almost all acrylic acid is produced from petroleum based propylene by a two-step gas-phase oxidation</w:t>
      </w:r>
      <w:r>
        <w:rPr>
          <w:rFonts w:cstheme="minorHAnsi"/>
        </w:rPr>
        <w:t xml:space="preserve"> </w:t>
      </w:r>
      <w:r w:rsidRPr="00FD1C5B">
        <w:rPr>
          <w:rFonts w:cstheme="minorHAnsi"/>
        </w:rPr>
        <w:t>process with 95% propylene conversion and high acrylic acid selectivity. The CO</w:t>
      </w:r>
      <w:r w:rsidRPr="00FD1C5B">
        <w:rPr>
          <w:rFonts w:cstheme="minorHAnsi"/>
          <w:vertAlign w:val="subscript"/>
        </w:rPr>
        <w:t>2</w:t>
      </w:r>
      <w:r w:rsidRPr="00FD1C5B">
        <w:rPr>
          <w:rFonts w:cstheme="minorHAnsi"/>
        </w:rPr>
        <w:t xml:space="preserve"> footprint of this</w:t>
      </w:r>
      <w:r>
        <w:rPr>
          <w:rFonts w:cstheme="minorHAnsi"/>
        </w:rPr>
        <w:t xml:space="preserve"> </w:t>
      </w:r>
      <w:r w:rsidRPr="00FD1C5B">
        <w:rPr>
          <w:rFonts w:cstheme="minorHAnsi"/>
        </w:rPr>
        <w:t>fossil-based process is estimated as 2.5 kg CO</w:t>
      </w:r>
      <w:r w:rsidRPr="00FD1C5B">
        <w:rPr>
          <w:rFonts w:cstheme="minorHAnsi"/>
          <w:vertAlign w:val="subscript"/>
        </w:rPr>
        <w:t>2</w:t>
      </w:r>
      <w:r w:rsidRPr="00FD1C5B">
        <w:rPr>
          <w:rFonts w:cstheme="minorHAnsi"/>
        </w:rPr>
        <w:t xml:space="preserve"> per kg of acrylic acid produced. In view of the large</w:t>
      </w:r>
      <w:r>
        <w:rPr>
          <w:rFonts w:cstheme="minorHAnsi"/>
        </w:rPr>
        <w:t xml:space="preserve"> </w:t>
      </w:r>
      <w:r w:rsidRPr="00FD1C5B">
        <w:rPr>
          <w:rFonts w:cstheme="minorHAnsi"/>
        </w:rPr>
        <w:t>production and use of acrylic acid and derivatives in Flanders, more sustainable production routes for</w:t>
      </w:r>
      <w:r>
        <w:rPr>
          <w:rFonts w:cstheme="minorHAnsi"/>
        </w:rPr>
        <w:t xml:space="preserve"> </w:t>
      </w:r>
      <w:r w:rsidRPr="00FD1C5B">
        <w:rPr>
          <w:rFonts w:cstheme="minorHAnsi"/>
        </w:rPr>
        <w:t>acrylic acid are a prime target for reducing the carbon footprint of Flanders.</w:t>
      </w:r>
    </w:p>
    <w:p w14:paraId="78FEEABB" w14:textId="77777777" w:rsidR="002428FE" w:rsidRDefault="002428FE" w:rsidP="002428FE">
      <w:pPr>
        <w:pStyle w:val="Geenafstand"/>
        <w:rPr>
          <w:rFonts w:cstheme="minorHAnsi"/>
        </w:rPr>
      </w:pPr>
    </w:p>
    <w:p w14:paraId="3E8AEC16" w14:textId="4CEAC121" w:rsidR="002428FE" w:rsidRDefault="002428FE" w:rsidP="002428FE">
      <w:pPr>
        <w:pStyle w:val="Geenafstand"/>
        <w:rPr>
          <w:rFonts w:cstheme="minorHAnsi"/>
        </w:rPr>
      </w:pPr>
      <w:r w:rsidRPr="00FD1C5B">
        <w:rPr>
          <w:rFonts w:cstheme="minorHAnsi"/>
        </w:rPr>
        <w:t xml:space="preserve">The Bio-Acrylates project will develop a new production process for </w:t>
      </w:r>
      <w:r w:rsidRPr="00FD1C5B">
        <w:rPr>
          <w:rFonts w:cstheme="minorHAnsi"/>
          <w:b/>
        </w:rPr>
        <w:t>biobased Acrylic Acid</w:t>
      </w:r>
      <w:r>
        <w:rPr>
          <w:rFonts w:cstheme="minorHAnsi"/>
          <w:b/>
        </w:rPr>
        <w:t xml:space="preserve"> </w:t>
      </w:r>
      <w:r>
        <w:rPr>
          <w:rFonts w:cstheme="minorHAnsi"/>
        </w:rPr>
        <w:t>(bio-AA)</w:t>
      </w:r>
      <w:r w:rsidRPr="00FD1C5B">
        <w:rPr>
          <w:rFonts w:cstheme="minorHAnsi"/>
        </w:rPr>
        <w:t xml:space="preserve"> by fermentative conversion of waste biomass into </w:t>
      </w:r>
      <w:r w:rsidRPr="00FD1C5B">
        <w:rPr>
          <w:rFonts w:cstheme="minorHAnsi"/>
          <w:b/>
        </w:rPr>
        <w:t>poly-3-hydroxypropionic acid</w:t>
      </w:r>
      <w:r w:rsidRPr="00FD1C5B">
        <w:rPr>
          <w:rFonts w:cstheme="minorHAnsi"/>
        </w:rPr>
        <w:t xml:space="preserve">, followed by the hydrolysis of </w:t>
      </w:r>
      <w:r>
        <w:rPr>
          <w:rFonts w:cstheme="minorHAnsi"/>
        </w:rPr>
        <w:t>the polymer</w:t>
      </w:r>
      <w:r w:rsidRPr="00FD1C5B">
        <w:rPr>
          <w:rFonts w:cstheme="minorHAnsi"/>
        </w:rPr>
        <w:t xml:space="preserve"> into </w:t>
      </w:r>
      <w:r w:rsidRPr="00FD1C5B">
        <w:rPr>
          <w:rFonts w:cstheme="minorHAnsi"/>
          <w:b/>
        </w:rPr>
        <w:t xml:space="preserve">3-hydroxypropionic acid </w:t>
      </w:r>
      <w:r w:rsidRPr="00FD1C5B">
        <w:rPr>
          <w:rFonts w:cstheme="minorHAnsi"/>
        </w:rPr>
        <w:t>that can be readily dehydrated to bio-AA with high yields and selectivity.</w:t>
      </w:r>
      <w:r>
        <w:rPr>
          <w:rFonts w:cstheme="minorHAnsi"/>
        </w:rPr>
        <w:t xml:space="preserve"> </w:t>
      </w:r>
      <w:r w:rsidRPr="00FD1C5B">
        <w:rPr>
          <w:rFonts w:cstheme="minorHAnsi"/>
        </w:rPr>
        <w:t>By using</w:t>
      </w:r>
      <w:r>
        <w:rPr>
          <w:rFonts w:cstheme="minorHAnsi"/>
        </w:rPr>
        <w:t xml:space="preserve"> </w:t>
      </w:r>
      <w:r w:rsidRPr="00FD1C5B">
        <w:rPr>
          <w:rFonts w:cstheme="minorHAnsi"/>
        </w:rPr>
        <w:t>waste biomass, a renewable resource obtained through the uptake of CO</w:t>
      </w:r>
      <w:r w:rsidRPr="00FD1C5B">
        <w:rPr>
          <w:rFonts w:cstheme="minorHAnsi"/>
          <w:vertAlign w:val="subscript"/>
        </w:rPr>
        <w:t>2</w:t>
      </w:r>
      <w:r w:rsidRPr="00FD1C5B">
        <w:rPr>
          <w:rFonts w:cstheme="minorHAnsi"/>
        </w:rPr>
        <w:t xml:space="preserve"> from the atmosphere, near</w:t>
      </w:r>
      <w:r>
        <w:rPr>
          <w:rFonts w:cstheme="minorHAnsi"/>
        </w:rPr>
        <w:t xml:space="preserve"> </w:t>
      </w:r>
      <w:r w:rsidRPr="00FD1C5B">
        <w:rPr>
          <w:rFonts w:cstheme="minorHAnsi"/>
        </w:rPr>
        <w:t xml:space="preserve">zero carbon emission processes can be envisaged. </w:t>
      </w:r>
      <w:r>
        <w:rPr>
          <w:rFonts w:cstheme="minorHAnsi"/>
        </w:rPr>
        <w:t>Overall, this process offers many advantages compared to the direct production of 3-hydroxypropionic acid.</w:t>
      </w:r>
    </w:p>
    <w:p w14:paraId="64FFEB00" w14:textId="48E73AF0" w:rsidR="001F1ED2" w:rsidRDefault="001F1ED2" w:rsidP="002428FE">
      <w:pPr>
        <w:pStyle w:val="Geenafstand"/>
        <w:rPr>
          <w:rFonts w:cstheme="minorHAnsi"/>
        </w:rPr>
      </w:pPr>
    </w:p>
    <w:p w14:paraId="73737D9E" w14:textId="77777777" w:rsidR="001F1ED2" w:rsidRDefault="001F1ED2" w:rsidP="001F1ED2">
      <w:pPr>
        <w:pStyle w:val="Geenafstand"/>
        <w:rPr>
          <w:i/>
          <w:iCs/>
        </w:rPr>
      </w:pPr>
      <w:r w:rsidRPr="002373F5">
        <w:rPr>
          <w:i/>
          <w:iCs/>
        </w:rPr>
        <w:t>For substantive questions about this project proposal, please contact MOT1 representative Isabelle Monnaie (</w:t>
      </w:r>
      <w:hyperlink r:id="rId14" w:history="1">
        <w:r w:rsidRPr="00023FD3">
          <w:rPr>
            <w:rStyle w:val="Hyperlink"/>
            <w:i/>
            <w:iCs/>
            <w:color w:val="35B09C"/>
          </w:rPr>
          <w:t>imonnaie@catalisti.be</w:t>
        </w:r>
      </w:hyperlink>
      <w:r w:rsidRPr="002373F5">
        <w:rPr>
          <w:i/>
          <w:iCs/>
        </w:rPr>
        <w:t>; +32 471 506 833).</w:t>
      </w:r>
    </w:p>
    <w:p w14:paraId="69CCDE27" w14:textId="77777777" w:rsidR="001F1ED2" w:rsidRDefault="001F1ED2" w:rsidP="002428FE">
      <w:pPr>
        <w:pStyle w:val="Geenafstand"/>
        <w:rPr>
          <w:rFonts w:cstheme="minorHAnsi"/>
        </w:rPr>
      </w:pPr>
    </w:p>
    <w:p w14:paraId="562FD635" w14:textId="04398460" w:rsidR="002428FE" w:rsidRDefault="002428FE">
      <w:pPr>
        <w:rPr>
          <w:rFonts w:ascii="Arial" w:hAnsi="Arial" w:cstheme="minorHAnsi"/>
          <w:color w:val="083756"/>
          <w:sz w:val="20"/>
          <w:lang w:val="en-GB"/>
        </w:rPr>
      </w:pPr>
      <w:r w:rsidRPr="001F1ED2">
        <w:rPr>
          <w:rFonts w:cstheme="minorHAnsi"/>
          <w:lang w:val="en-US"/>
        </w:rPr>
        <w:br w:type="page"/>
      </w:r>
    </w:p>
    <w:p w14:paraId="65BD037C" w14:textId="77777777" w:rsidR="0088577D" w:rsidRDefault="0088577D" w:rsidP="008A77CB">
      <w:pPr>
        <w:pStyle w:val="Kop2"/>
        <w:rPr>
          <w:lang w:val="en-US"/>
        </w:rPr>
      </w:pPr>
      <w:r>
        <w:rPr>
          <w:lang w:val="en-US"/>
        </w:rPr>
        <w:lastRenderedPageBreak/>
        <w:t>Abstract WODCA</w:t>
      </w:r>
    </w:p>
    <w:p w14:paraId="4BFECAF1" w14:textId="77509823" w:rsidR="0088577D" w:rsidRDefault="00E44F9C" w:rsidP="00C453FA">
      <w:pPr>
        <w:pStyle w:val="Geenafstand"/>
        <w:rPr>
          <w:b/>
          <w:bCs/>
        </w:rPr>
      </w:pPr>
      <w:r w:rsidRPr="00FF3494">
        <w:rPr>
          <w:b/>
          <w:bCs/>
        </w:rPr>
        <w:t>Waste oil to long-chain dicarboxylic acids</w:t>
      </w:r>
    </w:p>
    <w:p w14:paraId="69E96921" w14:textId="77777777" w:rsidR="00E44F9C" w:rsidRDefault="00E44F9C" w:rsidP="00C453FA">
      <w:pPr>
        <w:pStyle w:val="Geenafstand"/>
      </w:pPr>
    </w:p>
    <w:p w14:paraId="7965B7EC" w14:textId="1C93FBAE" w:rsidR="00C453FA" w:rsidRDefault="00C453FA" w:rsidP="00C453FA">
      <w:pPr>
        <w:pStyle w:val="Geenafstand"/>
        <w:rPr>
          <w:iCs/>
          <w:szCs w:val="20"/>
          <w:lang w:val="en-US"/>
        </w:rPr>
      </w:pPr>
      <w:r>
        <w:rPr>
          <w:iCs/>
          <w:szCs w:val="20"/>
        </w:rPr>
        <w:t xml:space="preserve">Long-chain aliphatic dicarboxylic acids (LCDAs) are </w:t>
      </w:r>
      <w:r w:rsidRPr="00114C3E">
        <w:rPr>
          <w:iCs/>
          <w:szCs w:val="20"/>
          <w:lang w:val="en-US"/>
        </w:rPr>
        <w:t>versatile</w:t>
      </w:r>
      <w:r>
        <w:rPr>
          <w:iCs/>
          <w:szCs w:val="20"/>
          <w:lang w:val="en-US"/>
        </w:rPr>
        <w:t>, biodegradable,</w:t>
      </w:r>
      <w:r w:rsidRPr="00114C3E">
        <w:rPr>
          <w:iCs/>
          <w:szCs w:val="20"/>
          <w:lang w:val="en-US"/>
        </w:rPr>
        <w:t xml:space="preserve"> chemical intermediates of different chain length</w:t>
      </w:r>
      <w:r>
        <w:rPr>
          <w:iCs/>
          <w:szCs w:val="20"/>
          <w:lang w:val="en-US"/>
        </w:rPr>
        <w:t>s (</w:t>
      </w:r>
      <w:r>
        <w:rPr>
          <w:rFonts w:cs="Arial"/>
          <w:iCs/>
          <w:szCs w:val="20"/>
          <w:lang w:val="en-US"/>
        </w:rPr>
        <w:t>≥</w:t>
      </w:r>
      <w:r>
        <w:rPr>
          <w:iCs/>
          <w:szCs w:val="20"/>
          <w:lang w:val="en-US"/>
        </w:rPr>
        <w:t>C12)</w:t>
      </w:r>
      <w:r w:rsidRPr="00114C3E">
        <w:rPr>
          <w:iCs/>
          <w:szCs w:val="20"/>
          <w:lang w:val="en-US"/>
        </w:rPr>
        <w:t xml:space="preserve"> </w:t>
      </w:r>
      <w:r>
        <w:rPr>
          <w:iCs/>
          <w:szCs w:val="20"/>
          <w:lang w:val="en-US"/>
        </w:rPr>
        <w:t xml:space="preserve">and saturation, </w:t>
      </w:r>
      <w:r w:rsidRPr="00114C3E">
        <w:rPr>
          <w:iCs/>
          <w:szCs w:val="20"/>
          <w:lang w:val="en-US"/>
        </w:rPr>
        <w:t>us</w:t>
      </w:r>
      <w:r>
        <w:rPr>
          <w:iCs/>
          <w:szCs w:val="20"/>
          <w:lang w:val="en-US"/>
        </w:rPr>
        <w:t>able</w:t>
      </w:r>
      <w:r w:rsidRPr="00114C3E">
        <w:rPr>
          <w:iCs/>
          <w:szCs w:val="20"/>
          <w:lang w:val="en-US"/>
        </w:rPr>
        <w:t xml:space="preserve"> as </w:t>
      </w:r>
      <w:r>
        <w:rPr>
          <w:iCs/>
          <w:szCs w:val="20"/>
          <w:lang w:val="en-US"/>
        </w:rPr>
        <w:t>precursors for</w:t>
      </w:r>
      <w:r w:rsidRPr="00114C3E">
        <w:rPr>
          <w:iCs/>
          <w:szCs w:val="20"/>
          <w:lang w:val="en-US"/>
        </w:rPr>
        <w:t xml:space="preserve"> </w:t>
      </w:r>
      <w:r>
        <w:rPr>
          <w:iCs/>
          <w:szCs w:val="20"/>
          <w:lang w:val="en-US"/>
        </w:rPr>
        <w:t xml:space="preserve">high-grade </w:t>
      </w:r>
      <w:r w:rsidRPr="00114C3E">
        <w:rPr>
          <w:iCs/>
          <w:szCs w:val="20"/>
          <w:lang w:val="en-US"/>
        </w:rPr>
        <w:t>polymers (</w:t>
      </w:r>
      <w:r>
        <w:rPr>
          <w:iCs/>
          <w:szCs w:val="20"/>
          <w:lang w:val="en-US"/>
        </w:rPr>
        <w:t>PE, PA, PU</w:t>
      </w:r>
      <w:r w:rsidRPr="00114C3E">
        <w:rPr>
          <w:iCs/>
          <w:szCs w:val="20"/>
          <w:lang w:val="en-US"/>
        </w:rPr>
        <w:t>),</w:t>
      </w:r>
      <w:r>
        <w:rPr>
          <w:iCs/>
          <w:szCs w:val="20"/>
          <w:lang w:val="en-US"/>
        </w:rPr>
        <w:t xml:space="preserve"> lubricants, hydrophobic coatings,</w:t>
      </w:r>
      <w:r w:rsidRPr="00114C3E">
        <w:rPr>
          <w:iCs/>
          <w:szCs w:val="20"/>
          <w:lang w:val="en-US"/>
        </w:rPr>
        <w:t xml:space="preserve"> </w:t>
      </w:r>
      <w:r>
        <w:rPr>
          <w:iCs/>
          <w:szCs w:val="20"/>
          <w:lang w:val="en-US"/>
        </w:rPr>
        <w:t xml:space="preserve">corrosion inhibitors, </w:t>
      </w:r>
      <w:r w:rsidRPr="00114C3E">
        <w:rPr>
          <w:iCs/>
          <w:szCs w:val="20"/>
          <w:lang w:val="en-US"/>
        </w:rPr>
        <w:t>perfumes, adhesives and macrolide antibiotics</w:t>
      </w:r>
      <w:r>
        <w:rPr>
          <w:iCs/>
          <w:szCs w:val="20"/>
          <w:lang w:val="en-US"/>
        </w:rPr>
        <w:t xml:space="preserve">. </w:t>
      </w:r>
      <w:r w:rsidRPr="00341BD4">
        <w:rPr>
          <w:iCs/>
          <w:szCs w:val="20"/>
          <w:lang w:val="en-US"/>
        </w:rPr>
        <w:t>T</w:t>
      </w:r>
      <w:r>
        <w:rPr>
          <w:iCs/>
          <w:szCs w:val="20"/>
          <w:lang w:val="en-US"/>
        </w:rPr>
        <w:t>he current global LCDAs market wa</w:t>
      </w:r>
      <w:r w:rsidRPr="00341BD4">
        <w:rPr>
          <w:iCs/>
          <w:szCs w:val="20"/>
          <w:lang w:val="en-US"/>
        </w:rPr>
        <w:t xml:space="preserve">s </w:t>
      </w:r>
      <w:r>
        <w:rPr>
          <w:iCs/>
          <w:szCs w:val="20"/>
          <w:lang w:val="en-US"/>
        </w:rPr>
        <w:t>201.36</w:t>
      </w:r>
      <w:r w:rsidRPr="00341BD4">
        <w:rPr>
          <w:iCs/>
          <w:szCs w:val="20"/>
          <w:lang w:val="en-US"/>
        </w:rPr>
        <w:t xml:space="preserve"> M$ in 20</w:t>
      </w:r>
      <w:r>
        <w:rPr>
          <w:iCs/>
          <w:szCs w:val="20"/>
          <w:lang w:val="en-US"/>
        </w:rPr>
        <w:t>19</w:t>
      </w:r>
      <w:r w:rsidRPr="00341BD4">
        <w:rPr>
          <w:iCs/>
          <w:szCs w:val="20"/>
          <w:lang w:val="en-US"/>
        </w:rPr>
        <w:t xml:space="preserve"> </w:t>
      </w:r>
      <w:r>
        <w:rPr>
          <w:iCs/>
          <w:szCs w:val="20"/>
          <w:lang w:val="en-US"/>
        </w:rPr>
        <w:t>with an increase in the last three years and a broadcasted compound annual growth rate (CAGR) of 5.9% (</w:t>
      </w:r>
      <w:proofErr w:type="spellStart"/>
      <w:r>
        <w:rPr>
          <w:iCs/>
          <w:szCs w:val="20"/>
          <w:lang w:val="en-US"/>
        </w:rPr>
        <w:t>DataHorizzon</w:t>
      </w:r>
      <w:proofErr w:type="spellEnd"/>
      <w:r>
        <w:rPr>
          <w:iCs/>
          <w:szCs w:val="20"/>
          <w:lang w:val="en-US"/>
        </w:rPr>
        <w:t xml:space="preserve"> Research 2020).</w:t>
      </w:r>
      <w:r w:rsidRPr="00341BD4">
        <w:rPr>
          <w:iCs/>
          <w:szCs w:val="20"/>
          <w:lang w:val="en-US"/>
        </w:rPr>
        <w:t xml:space="preserve"> The EU market share is </w:t>
      </w:r>
      <w:r>
        <w:rPr>
          <w:iCs/>
          <w:szCs w:val="20"/>
          <w:lang w:val="en-US"/>
        </w:rPr>
        <w:t xml:space="preserve">about </w:t>
      </w:r>
      <w:r w:rsidRPr="00341BD4">
        <w:rPr>
          <w:iCs/>
          <w:szCs w:val="20"/>
          <w:lang w:val="en-US"/>
        </w:rPr>
        <w:t xml:space="preserve">20%. </w:t>
      </w:r>
    </w:p>
    <w:p w14:paraId="742B0CC3" w14:textId="77777777" w:rsidR="00C453FA" w:rsidRDefault="00C453FA" w:rsidP="00C453FA">
      <w:pPr>
        <w:pStyle w:val="Geenafstand"/>
        <w:rPr>
          <w:iCs/>
          <w:szCs w:val="20"/>
          <w:lang w:val="en-US"/>
        </w:rPr>
      </w:pPr>
    </w:p>
    <w:p w14:paraId="4E4DD411" w14:textId="32958AC7" w:rsidR="00C453FA" w:rsidRDefault="00C453FA" w:rsidP="00C453FA">
      <w:pPr>
        <w:pStyle w:val="Geenafstand"/>
        <w:rPr>
          <w:iCs/>
          <w:szCs w:val="20"/>
        </w:rPr>
      </w:pPr>
      <w:r w:rsidRPr="00A7737E">
        <w:rPr>
          <w:rFonts w:cs="Arial"/>
          <w:iCs/>
          <w:szCs w:val="20"/>
        </w:rPr>
        <w:t xml:space="preserve">Traditional fossil-based </w:t>
      </w:r>
      <w:r>
        <w:rPr>
          <w:rFonts w:cs="Arial"/>
          <w:iCs/>
          <w:szCs w:val="20"/>
        </w:rPr>
        <w:t>LCDAs are</w:t>
      </w:r>
      <w:r w:rsidRPr="00A7737E">
        <w:rPr>
          <w:rFonts w:cs="Arial"/>
          <w:iCs/>
          <w:szCs w:val="20"/>
        </w:rPr>
        <w:t xml:space="preserve"> </w:t>
      </w:r>
      <w:r>
        <w:rPr>
          <w:rFonts w:cs="Arial"/>
          <w:iCs/>
          <w:szCs w:val="20"/>
        </w:rPr>
        <w:t xml:space="preserve">produced via expensive, harsh </w:t>
      </w:r>
      <w:r>
        <w:rPr>
          <w:iCs/>
          <w:szCs w:val="20"/>
        </w:rPr>
        <w:t>chemical processes that lead to unwanted side products and only short/medium-chain saturated DA products. Also, chemical processes to convert plant oils via metathesis into bio-based LCDAs have been implemented, with similar limitations or with the disadvantage of complex product mixtures in the case of the more recent self-metathesis. Biotechnological production</w:t>
      </w:r>
      <w:r w:rsidRPr="00985CFE">
        <w:rPr>
          <w:rFonts w:cs="Arial"/>
          <w:iCs/>
          <w:szCs w:val="20"/>
        </w:rPr>
        <w:t xml:space="preserve"> </w:t>
      </w:r>
      <w:r>
        <w:rPr>
          <w:rFonts w:cs="Arial"/>
          <w:iCs/>
          <w:szCs w:val="20"/>
        </w:rPr>
        <w:t>proved</w:t>
      </w:r>
      <w:r w:rsidRPr="00985CFE">
        <w:rPr>
          <w:rFonts w:cs="Arial"/>
          <w:iCs/>
          <w:szCs w:val="20"/>
        </w:rPr>
        <w:t xml:space="preserve"> to be a</w:t>
      </w:r>
      <w:r>
        <w:rPr>
          <w:rFonts w:cs="Arial"/>
          <w:iCs/>
          <w:szCs w:val="20"/>
        </w:rPr>
        <w:t xml:space="preserve"> good</w:t>
      </w:r>
      <w:r w:rsidRPr="00985CFE">
        <w:rPr>
          <w:rFonts w:cs="Arial"/>
          <w:iCs/>
          <w:szCs w:val="20"/>
        </w:rPr>
        <w:t xml:space="preserve"> alternative </w:t>
      </w:r>
      <w:r>
        <w:rPr>
          <w:rFonts w:cs="Arial"/>
          <w:iCs/>
          <w:szCs w:val="20"/>
        </w:rPr>
        <w:t>technology</w:t>
      </w:r>
      <w:r w:rsidRPr="00985CFE">
        <w:rPr>
          <w:rFonts w:cs="Arial"/>
          <w:iCs/>
          <w:szCs w:val="20"/>
        </w:rPr>
        <w:t xml:space="preserve"> yielding a wider range of LCDA </w:t>
      </w:r>
      <w:r>
        <w:rPr>
          <w:rFonts w:cs="Arial"/>
          <w:iCs/>
          <w:szCs w:val="20"/>
        </w:rPr>
        <w:t xml:space="preserve">products </w:t>
      </w:r>
      <w:r w:rsidRPr="00A7737E">
        <w:rPr>
          <w:rFonts w:cs="Arial"/>
          <w:iCs/>
          <w:szCs w:val="20"/>
        </w:rPr>
        <w:t>with varying degrees of unsaturation</w:t>
      </w:r>
      <w:r>
        <w:rPr>
          <w:rFonts w:cs="Arial"/>
          <w:iCs/>
          <w:szCs w:val="20"/>
        </w:rPr>
        <w:t>, obtainable from fossil-based alkanes or plant</w:t>
      </w:r>
      <w:r w:rsidRPr="0060707F">
        <w:rPr>
          <w:rFonts w:cs="Arial"/>
          <w:iCs/>
          <w:szCs w:val="20"/>
        </w:rPr>
        <w:t xml:space="preserve">-based </w:t>
      </w:r>
      <w:r>
        <w:rPr>
          <w:rFonts w:cs="Arial"/>
          <w:iCs/>
          <w:szCs w:val="20"/>
        </w:rPr>
        <w:t>fatty acids using microorganisms. However, biosynthesis of longer chains (</w:t>
      </w:r>
      <w:r>
        <w:rPr>
          <w:rFonts w:cs="Arial"/>
          <w:iCs/>
          <w:szCs w:val="20"/>
          <w:lang w:val="en-US"/>
        </w:rPr>
        <w:t>≥</w:t>
      </w:r>
      <w:r>
        <w:rPr>
          <w:rFonts w:cs="Arial"/>
          <w:iCs/>
          <w:szCs w:val="20"/>
        </w:rPr>
        <w:t xml:space="preserve">C16) </w:t>
      </w:r>
      <w:r>
        <w:rPr>
          <w:iCs/>
          <w:szCs w:val="20"/>
        </w:rPr>
        <w:t>suffers from low performance (expensive substrates, low product concentrations, slow reaction rates, high viscosity, foaming), and costly downstream processing.</w:t>
      </w:r>
    </w:p>
    <w:p w14:paraId="2DF9CA89" w14:textId="77777777" w:rsidR="00C453FA" w:rsidRDefault="00C453FA" w:rsidP="00C453FA">
      <w:pPr>
        <w:pStyle w:val="Geenafstand"/>
        <w:rPr>
          <w:iCs/>
          <w:szCs w:val="20"/>
        </w:rPr>
      </w:pPr>
    </w:p>
    <w:p w14:paraId="1ACD696B" w14:textId="44CFC888" w:rsidR="00C453FA" w:rsidRDefault="00C453FA" w:rsidP="00C453FA">
      <w:pPr>
        <w:pStyle w:val="Geenafstand"/>
        <w:rPr>
          <w:iCs/>
          <w:szCs w:val="20"/>
        </w:rPr>
      </w:pPr>
      <w:r>
        <w:rPr>
          <w:iCs/>
          <w:szCs w:val="20"/>
        </w:rPr>
        <w:t>WODCA aims to tackle all limitations by applying</w:t>
      </w:r>
      <w:r w:rsidRPr="00E43B5A">
        <w:rPr>
          <w:iCs/>
          <w:szCs w:val="20"/>
        </w:rPr>
        <w:t xml:space="preserve"> </w:t>
      </w:r>
      <w:r>
        <w:rPr>
          <w:b/>
          <w:iCs/>
          <w:szCs w:val="20"/>
        </w:rPr>
        <w:t>lipid</w:t>
      </w:r>
      <w:r w:rsidRPr="00E175A2">
        <w:rPr>
          <w:b/>
          <w:iCs/>
          <w:szCs w:val="20"/>
        </w:rPr>
        <w:t xml:space="preserve"> waste streams</w:t>
      </w:r>
      <w:r w:rsidRPr="002E7B8B">
        <w:rPr>
          <w:iCs/>
          <w:szCs w:val="20"/>
        </w:rPr>
        <w:t xml:space="preserve"> as </w:t>
      </w:r>
      <w:r>
        <w:rPr>
          <w:iCs/>
          <w:szCs w:val="20"/>
        </w:rPr>
        <w:t xml:space="preserve">a </w:t>
      </w:r>
      <w:r w:rsidRPr="002E7B8B">
        <w:rPr>
          <w:iCs/>
          <w:szCs w:val="20"/>
        </w:rPr>
        <w:t>sustainable</w:t>
      </w:r>
      <w:r>
        <w:rPr>
          <w:iCs/>
          <w:szCs w:val="20"/>
        </w:rPr>
        <w:t>, low-cost</w:t>
      </w:r>
      <w:r w:rsidRPr="002E7B8B">
        <w:rPr>
          <w:iCs/>
          <w:szCs w:val="20"/>
        </w:rPr>
        <w:t xml:space="preserve"> feedstock for</w:t>
      </w:r>
      <w:r>
        <w:rPr>
          <w:iCs/>
          <w:szCs w:val="20"/>
        </w:rPr>
        <w:t xml:space="preserve"> </w:t>
      </w:r>
      <w:r w:rsidRPr="001921CE">
        <w:rPr>
          <w:iCs/>
          <w:szCs w:val="20"/>
        </w:rPr>
        <w:t>optimized biotransformation</w:t>
      </w:r>
      <w:r w:rsidRPr="002E7B8B">
        <w:rPr>
          <w:iCs/>
          <w:szCs w:val="20"/>
        </w:rPr>
        <w:t xml:space="preserve"> to </w:t>
      </w:r>
      <w:r w:rsidRPr="00E175A2">
        <w:rPr>
          <w:b/>
          <w:iCs/>
          <w:szCs w:val="20"/>
        </w:rPr>
        <w:t xml:space="preserve">existing </w:t>
      </w:r>
      <w:r>
        <w:rPr>
          <w:b/>
          <w:iCs/>
          <w:szCs w:val="20"/>
        </w:rPr>
        <w:t>and</w:t>
      </w:r>
      <w:r w:rsidRPr="00E175A2">
        <w:rPr>
          <w:b/>
          <w:iCs/>
          <w:szCs w:val="20"/>
        </w:rPr>
        <w:t xml:space="preserve"> new value-added LCDA building blocks</w:t>
      </w:r>
      <w:r>
        <w:rPr>
          <w:b/>
          <w:iCs/>
          <w:szCs w:val="20"/>
        </w:rPr>
        <w:t>, tailored to selected applications</w:t>
      </w:r>
      <w:r w:rsidRPr="00DE0F64">
        <w:rPr>
          <w:bCs/>
          <w:iCs/>
          <w:szCs w:val="20"/>
        </w:rPr>
        <w:t xml:space="preserve"> (focus on C12, C16</w:t>
      </w:r>
      <w:r>
        <w:rPr>
          <w:bCs/>
          <w:iCs/>
          <w:szCs w:val="20"/>
        </w:rPr>
        <w:t xml:space="preserve">, </w:t>
      </w:r>
      <w:r w:rsidRPr="00DE0F64">
        <w:rPr>
          <w:bCs/>
          <w:iCs/>
          <w:szCs w:val="20"/>
        </w:rPr>
        <w:t xml:space="preserve">C18). </w:t>
      </w:r>
      <w:r>
        <w:rPr>
          <w:iCs/>
          <w:szCs w:val="20"/>
        </w:rPr>
        <w:t>To this end, the project will apply</w:t>
      </w:r>
      <w:r w:rsidRPr="002E7B8B">
        <w:rPr>
          <w:iCs/>
          <w:szCs w:val="20"/>
        </w:rPr>
        <w:t xml:space="preserve"> </w:t>
      </w:r>
      <w:r>
        <w:rPr>
          <w:iCs/>
          <w:szCs w:val="20"/>
        </w:rPr>
        <w:t xml:space="preserve">robust </w:t>
      </w:r>
      <w:r w:rsidRPr="001921CE">
        <w:rPr>
          <w:b/>
          <w:iCs/>
          <w:szCs w:val="20"/>
        </w:rPr>
        <w:t>new</w:t>
      </w:r>
      <w:r>
        <w:rPr>
          <w:b/>
          <w:iCs/>
          <w:szCs w:val="20"/>
        </w:rPr>
        <w:t>ly</w:t>
      </w:r>
      <w:r w:rsidRPr="001921CE">
        <w:rPr>
          <w:b/>
          <w:iCs/>
          <w:szCs w:val="20"/>
        </w:rPr>
        <w:t xml:space="preserve"> engineered </w:t>
      </w:r>
      <w:r>
        <w:rPr>
          <w:b/>
          <w:iCs/>
          <w:szCs w:val="20"/>
        </w:rPr>
        <w:t xml:space="preserve">non-pathogenic </w:t>
      </w:r>
      <w:r w:rsidRPr="001921CE">
        <w:rPr>
          <w:b/>
          <w:iCs/>
          <w:szCs w:val="20"/>
        </w:rPr>
        <w:t>microbial strain</w:t>
      </w:r>
      <w:r>
        <w:rPr>
          <w:b/>
          <w:iCs/>
          <w:szCs w:val="20"/>
        </w:rPr>
        <w:t>s</w:t>
      </w:r>
      <w:r w:rsidRPr="002E7B8B">
        <w:rPr>
          <w:iCs/>
          <w:szCs w:val="20"/>
        </w:rPr>
        <w:t xml:space="preserve">, </w:t>
      </w:r>
      <w:r>
        <w:rPr>
          <w:b/>
          <w:iCs/>
          <w:szCs w:val="20"/>
        </w:rPr>
        <w:t>advanced conversion technologies</w:t>
      </w:r>
      <w:r w:rsidRPr="002E7B8B">
        <w:rPr>
          <w:iCs/>
          <w:szCs w:val="20"/>
        </w:rPr>
        <w:t xml:space="preserve"> and </w:t>
      </w:r>
      <w:r w:rsidRPr="00E33D07">
        <w:rPr>
          <w:b/>
          <w:iCs/>
          <w:szCs w:val="20"/>
        </w:rPr>
        <w:t>downstream processing</w:t>
      </w:r>
      <w:r>
        <w:rPr>
          <w:b/>
          <w:iCs/>
          <w:szCs w:val="20"/>
        </w:rPr>
        <w:t xml:space="preserve"> at a competitive price</w:t>
      </w:r>
      <w:r w:rsidRPr="002E7B8B">
        <w:rPr>
          <w:iCs/>
          <w:szCs w:val="20"/>
        </w:rPr>
        <w:t>.</w:t>
      </w:r>
    </w:p>
    <w:p w14:paraId="724CE4BE" w14:textId="0AF036FA" w:rsidR="00C453FA" w:rsidRDefault="00C453FA" w:rsidP="00C453FA">
      <w:pPr>
        <w:pStyle w:val="Geenafstand"/>
        <w:rPr>
          <w:iCs/>
          <w:szCs w:val="20"/>
        </w:rPr>
      </w:pPr>
    </w:p>
    <w:p w14:paraId="261FE7A1" w14:textId="77777777" w:rsidR="00C453FA" w:rsidRDefault="00C453FA" w:rsidP="00C453FA">
      <w:pPr>
        <w:pStyle w:val="Geenafstand"/>
        <w:rPr>
          <w:i/>
          <w:iCs/>
        </w:rPr>
      </w:pPr>
      <w:r w:rsidRPr="002373F5">
        <w:rPr>
          <w:i/>
          <w:iCs/>
        </w:rPr>
        <w:t>For substantive questions about this project proposal, please contact MOT1 representative Isabelle Monnaie (</w:t>
      </w:r>
      <w:hyperlink r:id="rId15" w:history="1">
        <w:r w:rsidRPr="00023FD3">
          <w:rPr>
            <w:rStyle w:val="Hyperlink"/>
            <w:i/>
            <w:iCs/>
            <w:color w:val="35B09C"/>
          </w:rPr>
          <w:t>imonnaie@catalisti.be</w:t>
        </w:r>
      </w:hyperlink>
      <w:r w:rsidRPr="002373F5">
        <w:rPr>
          <w:i/>
          <w:iCs/>
        </w:rPr>
        <w:t>; +32 471 506 833).</w:t>
      </w:r>
    </w:p>
    <w:p w14:paraId="3C79C24D" w14:textId="3105D54B" w:rsidR="00C453FA" w:rsidRDefault="00C453FA">
      <w:pPr>
        <w:rPr>
          <w:rFonts w:ascii="Arial" w:hAnsi="Arial"/>
          <w:iCs/>
          <w:color w:val="083756"/>
          <w:sz w:val="20"/>
          <w:szCs w:val="20"/>
          <w:lang w:val="en-GB"/>
        </w:rPr>
      </w:pPr>
      <w:r w:rsidRPr="00FC01B6">
        <w:rPr>
          <w:iCs/>
          <w:szCs w:val="20"/>
          <w:lang w:val="en-US"/>
        </w:rPr>
        <w:br w:type="page"/>
      </w:r>
    </w:p>
    <w:p w14:paraId="55892870" w14:textId="51A85927" w:rsidR="008A77CB" w:rsidRPr="00325D5E" w:rsidRDefault="008A77CB" w:rsidP="008A77CB">
      <w:pPr>
        <w:pStyle w:val="Kop2"/>
        <w:rPr>
          <w:lang w:val="en-US"/>
        </w:rPr>
      </w:pPr>
      <w:r w:rsidRPr="00325D5E">
        <w:rPr>
          <w:lang w:val="en-US"/>
        </w:rPr>
        <w:lastRenderedPageBreak/>
        <w:t>Abstract PADDL-2</w:t>
      </w:r>
    </w:p>
    <w:p w14:paraId="09E13EC3" w14:textId="215875DD" w:rsidR="008A77CB" w:rsidRDefault="00E44F9C" w:rsidP="008A77CB">
      <w:pPr>
        <w:pStyle w:val="Geenafstand"/>
        <w:rPr>
          <w:b/>
          <w:bCs/>
          <w:lang w:val="en-US"/>
        </w:rPr>
      </w:pPr>
      <w:r w:rsidRPr="00325D5E">
        <w:rPr>
          <w:b/>
          <w:bCs/>
          <w:lang w:val="en-US"/>
        </w:rPr>
        <w:t>Polymer additives from lignin building blocks II</w:t>
      </w:r>
    </w:p>
    <w:p w14:paraId="59AE6125" w14:textId="77777777" w:rsidR="00E44F9C" w:rsidRPr="00325D5E" w:rsidRDefault="00E44F9C" w:rsidP="008A77CB">
      <w:pPr>
        <w:pStyle w:val="Geenafstand"/>
        <w:rPr>
          <w:lang w:val="en-US"/>
        </w:rPr>
      </w:pPr>
    </w:p>
    <w:p w14:paraId="21316BCD" w14:textId="77777777" w:rsidR="008A77CB" w:rsidRPr="00325D5E" w:rsidRDefault="008A77CB" w:rsidP="008A77CB">
      <w:pPr>
        <w:pStyle w:val="Geenafstand"/>
      </w:pPr>
      <w:r w:rsidRPr="00325D5E">
        <w:t>The overarching goal of the cSBO PADDL project is to develop new polymer additives from lignin-derived platform molecules via the lignin-first biorefinery technology, employing reductive catalytic fractionation (RCF) on lignocellulose feedstock such as wood. These new polymer additives will hereby contribute to the reduction of CO</w:t>
      </w:r>
      <w:r w:rsidRPr="00325D5E">
        <w:rPr>
          <w:vertAlign w:val="subscript"/>
        </w:rPr>
        <w:t>2</w:t>
      </w:r>
      <w:r w:rsidRPr="00325D5E">
        <w:t xml:space="preserve"> emissions by using renewable carbon. Additionally, they need to provide safer alternatives for current petrochemical additives of which many have been included in the REACH Authorization List or placed on the Candidate List in recent years.</w:t>
      </w:r>
    </w:p>
    <w:p w14:paraId="00014A5A" w14:textId="77777777" w:rsidR="008A77CB" w:rsidRPr="00325D5E" w:rsidRDefault="008A77CB" w:rsidP="008A77CB">
      <w:pPr>
        <w:pStyle w:val="Geenafstand"/>
      </w:pPr>
    </w:p>
    <w:p w14:paraId="4C8E1EFC" w14:textId="77777777" w:rsidR="008A77CB" w:rsidRPr="00325D5E" w:rsidRDefault="008A77CB" w:rsidP="008A77CB">
      <w:pPr>
        <w:pStyle w:val="Geenafstand"/>
      </w:pPr>
      <w:r w:rsidRPr="00325D5E">
        <w:t>The PADDL project will follow a ‘safe by design’ approach for the discovery of new plastic additives to avoid regrettable substitutions of petrochemical additives. Based on market size, plasticizers and flame retardants have been selected as targets for PADDL-2. In addition, the potential to combine two properties in one additive molecule will be evaluated. The designed and synthesized candidate molecules will undergo a rapid preliminary performance tests and those with promising properties become “hit compounds”. Hit compounds are selected for the acute ecotoxicity screening and those which fulfil both the initial performance and acute ecotoxicity screening criteria become “lead compounds”. Lead compounds undergo advanced ecotoxicity studies (assessment of potential chronic and behavioural ecotoxicity as well as mode of action tests when appropriate), as well as more advanced standardized performance testing. For the latter, a limited number of polymer matrices is chosen (PP and PLA for flame retardants, PVC and PLA for plasticizers). Subsequently, on those lead compounds which successfully passed all these studies preliminary human toxicity tests will be performed. Finally, compatibility of the new plastic additives with the recycling process (mechanical recycling of polymer with additive and/or extractive removal of the additive to facilitate the recycling) will be evaluated as well as the feasibility of production from real-life feedstock. This approach will lead to the identification of at least one New Molecular Entity (NME) in each of the two targeted application areas: flame retardants and plasticizers.</w:t>
      </w:r>
    </w:p>
    <w:p w14:paraId="03477D8C" w14:textId="77777777" w:rsidR="008A77CB" w:rsidRPr="00325D5E" w:rsidRDefault="008A77CB" w:rsidP="008A77CB">
      <w:pPr>
        <w:pStyle w:val="Geenafstand"/>
      </w:pPr>
    </w:p>
    <w:p w14:paraId="68A81695" w14:textId="77777777" w:rsidR="008A77CB" w:rsidRPr="009C32A1" w:rsidRDefault="008A77CB" w:rsidP="008A77CB">
      <w:pPr>
        <w:pStyle w:val="Geenafstand"/>
      </w:pPr>
      <w:r w:rsidRPr="00325D5E">
        <w:t>Further development of these NMEs towards the market is not a part of PADDL-2 and will be the subject of further R&amp;D in collaboration with interested companies. This will involve various other aspects such as the optimization of the synthesis suitable for scale up, optimization of dosing in function of the application, long-term performance studies taking into account stability of the material (both the additive and the polymer itself) under various conditions, full profiling of (eco)toxicity towards REACH registration, pilot production and finally, commercial scale production.</w:t>
      </w:r>
      <w:r w:rsidRPr="009C32A1">
        <w:t xml:space="preserve"> </w:t>
      </w:r>
    </w:p>
    <w:p w14:paraId="3BD28FD6" w14:textId="5309E60C" w:rsidR="008652CD" w:rsidRDefault="008652CD" w:rsidP="00825069">
      <w:pPr>
        <w:spacing w:after="0" w:line="240" w:lineRule="auto"/>
        <w:jc w:val="both"/>
        <w:rPr>
          <w:rFonts w:ascii="Arial" w:hAnsi="Arial" w:cs="Arial"/>
          <w:color w:val="083756"/>
          <w:spacing w:val="22"/>
          <w:sz w:val="20"/>
          <w:szCs w:val="20"/>
          <w:lang w:val="en-GB"/>
        </w:rPr>
      </w:pPr>
    </w:p>
    <w:p w14:paraId="762080FE" w14:textId="1B2F709E" w:rsidR="002D79ED" w:rsidRDefault="00290F7D" w:rsidP="00AE2E99">
      <w:pPr>
        <w:pStyle w:val="Geenafstand"/>
        <w:rPr>
          <w:i/>
          <w:iCs/>
        </w:rPr>
      </w:pPr>
      <w:r w:rsidRPr="002373F5">
        <w:rPr>
          <w:i/>
          <w:iCs/>
        </w:rPr>
        <w:t>For substantive questions about this project proposal, please contact MOT1 representative Isabelle Monnaie</w:t>
      </w:r>
      <w:r w:rsidR="002373F5" w:rsidRPr="002373F5">
        <w:rPr>
          <w:i/>
          <w:iCs/>
        </w:rPr>
        <w:t xml:space="preserve"> </w:t>
      </w:r>
      <w:r w:rsidRPr="002373F5">
        <w:rPr>
          <w:i/>
          <w:iCs/>
        </w:rPr>
        <w:t>(</w:t>
      </w:r>
      <w:hyperlink r:id="rId16" w:history="1">
        <w:r w:rsidR="00AE2E99" w:rsidRPr="00023FD3">
          <w:rPr>
            <w:rStyle w:val="Hyperlink"/>
            <w:i/>
            <w:iCs/>
            <w:color w:val="35B09C"/>
          </w:rPr>
          <w:t>imonnaie@catalisti.be</w:t>
        </w:r>
      </w:hyperlink>
      <w:r w:rsidR="00AE2E99" w:rsidRPr="002373F5">
        <w:rPr>
          <w:i/>
          <w:iCs/>
        </w:rPr>
        <w:t>; +32 471 506 833</w:t>
      </w:r>
      <w:r w:rsidR="002373F5" w:rsidRPr="002373F5">
        <w:rPr>
          <w:i/>
          <w:iCs/>
        </w:rPr>
        <w:t>).</w:t>
      </w:r>
    </w:p>
    <w:p w14:paraId="060018A7" w14:textId="77777777" w:rsidR="00C453FA" w:rsidRPr="002373F5" w:rsidRDefault="00C453FA" w:rsidP="00AE2E99">
      <w:pPr>
        <w:pStyle w:val="Geenafstand"/>
        <w:rPr>
          <w:i/>
          <w:iCs/>
        </w:rPr>
      </w:pPr>
    </w:p>
    <w:sectPr w:rsidR="00C453FA" w:rsidRPr="002373F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A020" w14:textId="77777777" w:rsidR="0037111A" w:rsidRDefault="0037111A" w:rsidP="00E149F4">
      <w:pPr>
        <w:spacing w:after="0" w:line="240" w:lineRule="auto"/>
      </w:pPr>
      <w:r>
        <w:separator/>
      </w:r>
    </w:p>
    <w:p w14:paraId="5E5EBA4D" w14:textId="77777777" w:rsidR="0037111A" w:rsidRDefault="0037111A"/>
    <w:p w14:paraId="731DF98E" w14:textId="77777777" w:rsidR="0037111A" w:rsidRDefault="0037111A" w:rsidP="00ED09EE"/>
  </w:endnote>
  <w:endnote w:type="continuationSeparator" w:id="0">
    <w:p w14:paraId="56C5CBB8" w14:textId="77777777" w:rsidR="0037111A" w:rsidRDefault="0037111A" w:rsidP="00E149F4">
      <w:pPr>
        <w:spacing w:after="0" w:line="240" w:lineRule="auto"/>
      </w:pPr>
      <w:r>
        <w:continuationSeparator/>
      </w:r>
    </w:p>
    <w:p w14:paraId="7D2532CC" w14:textId="77777777" w:rsidR="0037111A" w:rsidRDefault="0037111A"/>
    <w:p w14:paraId="171ABDF7" w14:textId="77777777" w:rsidR="0037111A" w:rsidRDefault="0037111A" w:rsidP="00ED09EE"/>
  </w:endnote>
  <w:endnote w:type="continuationNotice" w:id="1">
    <w:p w14:paraId="40997127" w14:textId="77777777" w:rsidR="0037111A" w:rsidRDefault="00371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F74E" w14:textId="77777777" w:rsidR="0037111A" w:rsidRDefault="0037111A" w:rsidP="00E149F4">
      <w:pPr>
        <w:spacing w:after="0" w:line="240" w:lineRule="auto"/>
      </w:pPr>
      <w:r>
        <w:separator/>
      </w:r>
    </w:p>
    <w:p w14:paraId="237A4541" w14:textId="77777777" w:rsidR="0037111A" w:rsidRDefault="0037111A"/>
    <w:p w14:paraId="24BF80E4" w14:textId="77777777" w:rsidR="0037111A" w:rsidRDefault="0037111A" w:rsidP="00ED09EE"/>
  </w:footnote>
  <w:footnote w:type="continuationSeparator" w:id="0">
    <w:p w14:paraId="30FF0DAF" w14:textId="77777777" w:rsidR="0037111A" w:rsidRDefault="0037111A" w:rsidP="00E149F4">
      <w:pPr>
        <w:spacing w:after="0" w:line="240" w:lineRule="auto"/>
      </w:pPr>
      <w:r>
        <w:continuationSeparator/>
      </w:r>
    </w:p>
    <w:p w14:paraId="43BCBACE" w14:textId="77777777" w:rsidR="0037111A" w:rsidRDefault="0037111A"/>
    <w:p w14:paraId="3A574E92" w14:textId="77777777" w:rsidR="0037111A" w:rsidRDefault="0037111A" w:rsidP="00ED09EE"/>
  </w:footnote>
  <w:footnote w:type="continuationNotice" w:id="1">
    <w:p w14:paraId="14E06A06" w14:textId="77777777" w:rsidR="0037111A" w:rsidRDefault="003711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1CE9" w14:textId="77777777" w:rsidR="00624DF9" w:rsidRPr="00B840FD" w:rsidRDefault="00624DF9" w:rsidP="00B840FD">
    <w:pPr>
      <w:pStyle w:val="Geenafstand"/>
    </w:pPr>
    <w:r w:rsidRPr="00B840FD">
      <w:rPr>
        <w:highlight w:val="yellow"/>
      </w:rPr>
      <w:t>[Please add company logo]</w:t>
    </w:r>
    <w:r w:rsidRPr="00B840FD">
      <w:tab/>
    </w:r>
    <w:r w:rsidRPr="00B840FD">
      <w:tab/>
    </w:r>
    <w:r w:rsidRPr="00B840FD">
      <w:tab/>
    </w:r>
    <w:r w:rsidRPr="00B840FD">
      <w:tab/>
    </w:r>
    <w:r w:rsidRPr="00B840FD">
      <w:tab/>
      <w:t xml:space="preserve">       </w:t>
    </w:r>
    <w:r w:rsidRPr="00B840FD">
      <w:rPr>
        <w:noProof/>
      </w:rPr>
      <w:drawing>
        <wp:anchor distT="0" distB="0" distL="114300" distR="114300" simplePos="0" relativeHeight="251659264" behindDoc="0" locked="0" layoutInCell="1" allowOverlap="1" wp14:anchorId="78F6F7AC" wp14:editId="35888A4E">
          <wp:simplePos x="0" y="0"/>
          <wp:positionH relativeFrom="column">
            <wp:posOffset>3843655</wp:posOffset>
          </wp:positionH>
          <wp:positionV relativeFrom="page">
            <wp:posOffset>447675</wp:posOffset>
          </wp:positionV>
          <wp:extent cx="1878965" cy="341630"/>
          <wp:effectExtent l="0" t="0" r="6985" b="1270"/>
          <wp:wrapThrough wrapText="bothSides">
            <wp:wrapPolygon edited="0">
              <wp:start x="0" y="0"/>
              <wp:lineTo x="0" y="20476"/>
              <wp:lineTo x="21461" y="20476"/>
              <wp:lineTo x="2146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oonshot koptekst.png"/>
                  <pic:cNvPicPr/>
                </pic:nvPicPr>
                <pic:blipFill>
                  <a:blip r:embed="rId1">
                    <a:extLst>
                      <a:ext uri="{28A0092B-C50C-407E-A947-70E740481C1C}">
                        <a14:useLocalDpi xmlns:a14="http://schemas.microsoft.com/office/drawing/2010/main" val="0"/>
                      </a:ext>
                    </a:extLst>
                  </a:blip>
                  <a:stretch>
                    <a:fillRect/>
                  </a:stretch>
                </pic:blipFill>
                <pic:spPr>
                  <a:xfrm>
                    <a:off x="0" y="0"/>
                    <a:ext cx="1878965" cy="341630"/>
                  </a:xfrm>
                  <a:prstGeom prst="rect">
                    <a:avLst/>
                  </a:prstGeom>
                </pic:spPr>
              </pic:pic>
            </a:graphicData>
          </a:graphic>
        </wp:anchor>
      </w:drawing>
    </w:r>
  </w:p>
  <w:p w14:paraId="5FBD572F" w14:textId="7C36C7BA" w:rsidR="00F450CC" w:rsidRDefault="00F450CC" w:rsidP="0082506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73C"/>
    <w:multiLevelType w:val="hybridMultilevel"/>
    <w:tmpl w:val="11041B9E"/>
    <w:lvl w:ilvl="0" w:tplc="9DE84CDC">
      <w:numFmt w:val="bullet"/>
      <w:lvlText w:val="•"/>
      <w:lvlJc w:val="left"/>
      <w:pPr>
        <w:ind w:left="1065" w:hanging="705"/>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AF4DA3"/>
    <w:multiLevelType w:val="hybridMultilevel"/>
    <w:tmpl w:val="F0825A24"/>
    <w:lvl w:ilvl="0" w:tplc="0E844BA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D07F47"/>
    <w:multiLevelType w:val="hybridMultilevel"/>
    <w:tmpl w:val="2C82BF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DC4224"/>
    <w:multiLevelType w:val="hybridMultilevel"/>
    <w:tmpl w:val="495A9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B066CD"/>
    <w:multiLevelType w:val="hybridMultilevel"/>
    <w:tmpl w:val="0E729F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E793B29"/>
    <w:multiLevelType w:val="hybridMultilevel"/>
    <w:tmpl w:val="B6F68F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D65293E"/>
    <w:multiLevelType w:val="hybridMultilevel"/>
    <w:tmpl w:val="B9047D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DBF2E48"/>
    <w:multiLevelType w:val="hybridMultilevel"/>
    <w:tmpl w:val="8A709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0310267"/>
    <w:multiLevelType w:val="hybridMultilevel"/>
    <w:tmpl w:val="CE84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24569"/>
    <w:multiLevelType w:val="hybridMultilevel"/>
    <w:tmpl w:val="2478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45ACB"/>
    <w:multiLevelType w:val="hybridMultilevel"/>
    <w:tmpl w:val="F11A170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702104CB"/>
    <w:multiLevelType w:val="hybridMultilevel"/>
    <w:tmpl w:val="4394F8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D9A627D"/>
    <w:multiLevelType w:val="hybridMultilevel"/>
    <w:tmpl w:val="5B4E4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3"/>
  </w:num>
  <w:num w:numId="5">
    <w:abstractNumId w:val="0"/>
  </w:num>
  <w:num w:numId="6">
    <w:abstractNumId w:val="8"/>
  </w:num>
  <w:num w:numId="7">
    <w:abstractNumId w:val="9"/>
  </w:num>
  <w:num w:numId="8">
    <w:abstractNumId w:val="5"/>
  </w:num>
  <w:num w:numId="9">
    <w:abstractNumId w:val="2"/>
  </w:num>
  <w:num w:numId="10">
    <w:abstractNumId w:val="4"/>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95"/>
    <w:rsid w:val="00000518"/>
    <w:rsid w:val="000048EE"/>
    <w:rsid w:val="00011183"/>
    <w:rsid w:val="00017AC9"/>
    <w:rsid w:val="000234AC"/>
    <w:rsid w:val="00023FD3"/>
    <w:rsid w:val="00030D9B"/>
    <w:rsid w:val="000321B7"/>
    <w:rsid w:val="000607CA"/>
    <w:rsid w:val="00064C6E"/>
    <w:rsid w:val="00064DD9"/>
    <w:rsid w:val="000668F4"/>
    <w:rsid w:val="0006745B"/>
    <w:rsid w:val="00070B3E"/>
    <w:rsid w:val="00074619"/>
    <w:rsid w:val="00076992"/>
    <w:rsid w:val="00077427"/>
    <w:rsid w:val="000857CB"/>
    <w:rsid w:val="000A26BF"/>
    <w:rsid w:val="000A2D76"/>
    <w:rsid w:val="000A7E3E"/>
    <w:rsid w:val="000B4622"/>
    <w:rsid w:val="000C69C7"/>
    <w:rsid w:val="000C6D35"/>
    <w:rsid w:val="000D3E6D"/>
    <w:rsid w:val="000D49A5"/>
    <w:rsid w:val="000E023C"/>
    <w:rsid w:val="000E0AC2"/>
    <w:rsid w:val="000E2D87"/>
    <w:rsid w:val="000F5A20"/>
    <w:rsid w:val="000F7F70"/>
    <w:rsid w:val="00103FAB"/>
    <w:rsid w:val="0011014E"/>
    <w:rsid w:val="00110B31"/>
    <w:rsid w:val="00121807"/>
    <w:rsid w:val="00126D6E"/>
    <w:rsid w:val="001274D5"/>
    <w:rsid w:val="00132B00"/>
    <w:rsid w:val="0013377A"/>
    <w:rsid w:val="001347EF"/>
    <w:rsid w:val="001362E8"/>
    <w:rsid w:val="00141D78"/>
    <w:rsid w:val="00142B3A"/>
    <w:rsid w:val="0014721A"/>
    <w:rsid w:val="00147388"/>
    <w:rsid w:val="00147529"/>
    <w:rsid w:val="00152BFF"/>
    <w:rsid w:val="00167A6F"/>
    <w:rsid w:val="00167B3B"/>
    <w:rsid w:val="00176BEC"/>
    <w:rsid w:val="00182794"/>
    <w:rsid w:val="00182D91"/>
    <w:rsid w:val="00185D82"/>
    <w:rsid w:val="001906F2"/>
    <w:rsid w:val="00193816"/>
    <w:rsid w:val="001975D8"/>
    <w:rsid w:val="001A1230"/>
    <w:rsid w:val="001A2DB0"/>
    <w:rsid w:val="001B00EA"/>
    <w:rsid w:val="001B4097"/>
    <w:rsid w:val="001C0948"/>
    <w:rsid w:val="001C1AC0"/>
    <w:rsid w:val="001C3594"/>
    <w:rsid w:val="001D2EC5"/>
    <w:rsid w:val="001F1ED2"/>
    <w:rsid w:val="001F5804"/>
    <w:rsid w:val="002022EA"/>
    <w:rsid w:val="0020317A"/>
    <w:rsid w:val="002074CF"/>
    <w:rsid w:val="00210597"/>
    <w:rsid w:val="0021271C"/>
    <w:rsid w:val="00212913"/>
    <w:rsid w:val="0021421F"/>
    <w:rsid w:val="00216DBE"/>
    <w:rsid w:val="00217A61"/>
    <w:rsid w:val="00217E46"/>
    <w:rsid w:val="00220DFF"/>
    <w:rsid w:val="00230A37"/>
    <w:rsid w:val="002373F5"/>
    <w:rsid w:val="002377BC"/>
    <w:rsid w:val="002428FE"/>
    <w:rsid w:val="00246BE0"/>
    <w:rsid w:val="00250582"/>
    <w:rsid w:val="002524EF"/>
    <w:rsid w:val="00261515"/>
    <w:rsid w:val="00262A24"/>
    <w:rsid w:val="00271273"/>
    <w:rsid w:val="002722A6"/>
    <w:rsid w:val="002744FA"/>
    <w:rsid w:val="002761AE"/>
    <w:rsid w:val="002825FC"/>
    <w:rsid w:val="00284C3C"/>
    <w:rsid w:val="00290F7D"/>
    <w:rsid w:val="0029455B"/>
    <w:rsid w:val="00296710"/>
    <w:rsid w:val="002A007A"/>
    <w:rsid w:val="002B4132"/>
    <w:rsid w:val="002B4675"/>
    <w:rsid w:val="002B7DFA"/>
    <w:rsid w:val="002C1DFF"/>
    <w:rsid w:val="002D7074"/>
    <w:rsid w:val="002D79ED"/>
    <w:rsid w:val="002E0AC3"/>
    <w:rsid w:val="002E1736"/>
    <w:rsid w:val="002F03F8"/>
    <w:rsid w:val="002F6288"/>
    <w:rsid w:val="002F7026"/>
    <w:rsid w:val="003032B5"/>
    <w:rsid w:val="00307365"/>
    <w:rsid w:val="00311B0F"/>
    <w:rsid w:val="00314B46"/>
    <w:rsid w:val="00321BA9"/>
    <w:rsid w:val="00323C2B"/>
    <w:rsid w:val="003309BA"/>
    <w:rsid w:val="003359B0"/>
    <w:rsid w:val="00337582"/>
    <w:rsid w:val="00342C60"/>
    <w:rsid w:val="00343808"/>
    <w:rsid w:val="00352268"/>
    <w:rsid w:val="003613B4"/>
    <w:rsid w:val="00363F16"/>
    <w:rsid w:val="0036403F"/>
    <w:rsid w:val="00364E5E"/>
    <w:rsid w:val="0037111A"/>
    <w:rsid w:val="00381D57"/>
    <w:rsid w:val="00385A1D"/>
    <w:rsid w:val="003953BD"/>
    <w:rsid w:val="00396C7A"/>
    <w:rsid w:val="003B2AFB"/>
    <w:rsid w:val="003B3BF0"/>
    <w:rsid w:val="003C6E8E"/>
    <w:rsid w:val="003C76BD"/>
    <w:rsid w:val="003D0847"/>
    <w:rsid w:val="003D1B88"/>
    <w:rsid w:val="003D33E2"/>
    <w:rsid w:val="003D62F6"/>
    <w:rsid w:val="003E06F2"/>
    <w:rsid w:val="003F3DF4"/>
    <w:rsid w:val="003F55F8"/>
    <w:rsid w:val="00400180"/>
    <w:rsid w:val="004179F5"/>
    <w:rsid w:val="00426F9D"/>
    <w:rsid w:val="00451447"/>
    <w:rsid w:val="00453764"/>
    <w:rsid w:val="004566F2"/>
    <w:rsid w:val="00461F97"/>
    <w:rsid w:val="00466FC3"/>
    <w:rsid w:val="00471A43"/>
    <w:rsid w:val="00471C09"/>
    <w:rsid w:val="00472627"/>
    <w:rsid w:val="00472D43"/>
    <w:rsid w:val="00483287"/>
    <w:rsid w:val="004A7F0F"/>
    <w:rsid w:val="004B21FF"/>
    <w:rsid w:val="004B7144"/>
    <w:rsid w:val="004C0DAE"/>
    <w:rsid w:val="004C2121"/>
    <w:rsid w:val="004C3130"/>
    <w:rsid w:val="004D5506"/>
    <w:rsid w:val="004E7544"/>
    <w:rsid w:val="004F0061"/>
    <w:rsid w:val="00500509"/>
    <w:rsid w:val="00501640"/>
    <w:rsid w:val="005034EA"/>
    <w:rsid w:val="00506F68"/>
    <w:rsid w:val="00510F71"/>
    <w:rsid w:val="00510FB7"/>
    <w:rsid w:val="00511FF9"/>
    <w:rsid w:val="0053349F"/>
    <w:rsid w:val="00533A5A"/>
    <w:rsid w:val="005365A8"/>
    <w:rsid w:val="005410D4"/>
    <w:rsid w:val="00550746"/>
    <w:rsid w:val="00561A26"/>
    <w:rsid w:val="00565C53"/>
    <w:rsid w:val="005742AB"/>
    <w:rsid w:val="0058368C"/>
    <w:rsid w:val="00584D8F"/>
    <w:rsid w:val="00590889"/>
    <w:rsid w:val="00594116"/>
    <w:rsid w:val="005962B5"/>
    <w:rsid w:val="005A0113"/>
    <w:rsid w:val="005A2920"/>
    <w:rsid w:val="005A7C67"/>
    <w:rsid w:val="005B0936"/>
    <w:rsid w:val="005B1930"/>
    <w:rsid w:val="005B38DE"/>
    <w:rsid w:val="005B3FFF"/>
    <w:rsid w:val="005B58D0"/>
    <w:rsid w:val="005C2565"/>
    <w:rsid w:val="005C574A"/>
    <w:rsid w:val="005D28A0"/>
    <w:rsid w:val="005D3519"/>
    <w:rsid w:val="005D368C"/>
    <w:rsid w:val="005D4967"/>
    <w:rsid w:val="005D528F"/>
    <w:rsid w:val="00607C2A"/>
    <w:rsid w:val="006125F7"/>
    <w:rsid w:val="00616C35"/>
    <w:rsid w:val="00622F0C"/>
    <w:rsid w:val="006231DE"/>
    <w:rsid w:val="00624DF9"/>
    <w:rsid w:val="00624F56"/>
    <w:rsid w:val="00633E00"/>
    <w:rsid w:val="0064457C"/>
    <w:rsid w:val="006449B7"/>
    <w:rsid w:val="0066005A"/>
    <w:rsid w:val="00666DF8"/>
    <w:rsid w:val="00672EE0"/>
    <w:rsid w:val="006736AC"/>
    <w:rsid w:val="006759E1"/>
    <w:rsid w:val="00680F13"/>
    <w:rsid w:val="00682A7E"/>
    <w:rsid w:val="00686BC4"/>
    <w:rsid w:val="00687395"/>
    <w:rsid w:val="006934CC"/>
    <w:rsid w:val="0069512B"/>
    <w:rsid w:val="006972E7"/>
    <w:rsid w:val="006A05C7"/>
    <w:rsid w:val="006A488D"/>
    <w:rsid w:val="006A7442"/>
    <w:rsid w:val="006A7687"/>
    <w:rsid w:val="006B48EC"/>
    <w:rsid w:val="006B60D7"/>
    <w:rsid w:val="006C045E"/>
    <w:rsid w:val="006E5594"/>
    <w:rsid w:val="006F1602"/>
    <w:rsid w:val="006F374F"/>
    <w:rsid w:val="00701B5F"/>
    <w:rsid w:val="00710C43"/>
    <w:rsid w:val="00716C1A"/>
    <w:rsid w:val="00721769"/>
    <w:rsid w:val="00732591"/>
    <w:rsid w:val="00735554"/>
    <w:rsid w:val="00741FE4"/>
    <w:rsid w:val="0074321C"/>
    <w:rsid w:val="00745DF1"/>
    <w:rsid w:val="007516C8"/>
    <w:rsid w:val="00761252"/>
    <w:rsid w:val="00764AF3"/>
    <w:rsid w:val="00782F2E"/>
    <w:rsid w:val="00783C63"/>
    <w:rsid w:val="00784205"/>
    <w:rsid w:val="0078465C"/>
    <w:rsid w:val="00786987"/>
    <w:rsid w:val="00786B11"/>
    <w:rsid w:val="00794993"/>
    <w:rsid w:val="007A08FA"/>
    <w:rsid w:val="007A17B6"/>
    <w:rsid w:val="007A4325"/>
    <w:rsid w:val="007B162D"/>
    <w:rsid w:val="007B35CF"/>
    <w:rsid w:val="007D2E20"/>
    <w:rsid w:val="007D6DC5"/>
    <w:rsid w:val="007D7000"/>
    <w:rsid w:val="007F3761"/>
    <w:rsid w:val="007F48E4"/>
    <w:rsid w:val="007F6E9C"/>
    <w:rsid w:val="007F769F"/>
    <w:rsid w:val="00804F9E"/>
    <w:rsid w:val="00805AC4"/>
    <w:rsid w:val="00806ACE"/>
    <w:rsid w:val="0081165B"/>
    <w:rsid w:val="008149C5"/>
    <w:rsid w:val="00820C5B"/>
    <w:rsid w:val="00825069"/>
    <w:rsid w:val="00825661"/>
    <w:rsid w:val="00830971"/>
    <w:rsid w:val="008335AA"/>
    <w:rsid w:val="00844ABA"/>
    <w:rsid w:val="00852EFB"/>
    <w:rsid w:val="0085389E"/>
    <w:rsid w:val="0085397F"/>
    <w:rsid w:val="00860328"/>
    <w:rsid w:val="008652CD"/>
    <w:rsid w:val="008671AE"/>
    <w:rsid w:val="008751AA"/>
    <w:rsid w:val="0088577D"/>
    <w:rsid w:val="008A3117"/>
    <w:rsid w:val="008A77CB"/>
    <w:rsid w:val="008B6922"/>
    <w:rsid w:val="008B7339"/>
    <w:rsid w:val="008D16A5"/>
    <w:rsid w:val="008D337C"/>
    <w:rsid w:val="008D6937"/>
    <w:rsid w:val="008E2A7C"/>
    <w:rsid w:val="008E53D8"/>
    <w:rsid w:val="008F2254"/>
    <w:rsid w:val="008F251D"/>
    <w:rsid w:val="008F29DD"/>
    <w:rsid w:val="008F6345"/>
    <w:rsid w:val="009066E9"/>
    <w:rsid w:val="0092271D"/>
    <w:rsid w:val="00933862"/>
    <w:rsid w:val="00934989"/>
    <w:rsid w:val="00935733"/>
    <w:rsid w:val="0093645A"/>
    <w:rsid w:val="00950A05"/>
    <w:rsid w:val="00952191"/>
    <w:rsid w:val="0095623F"/>
    <w:rsid w:val="009609EA"/>
    <w:rsid w:val="00961564"/>
    <w:rsid w:val="00967F69"/>
    <w:rsid w:val="0097157D"/>
    <w:rsid w:val="00981F25"/>
    <w:rsid w:val="00983F36"/>
    <w:rsid w:val="009843F6"/>
    <w:rsid w:val="0098536E"/>
    <w:rsid w:val="00991539"/>
    <w:rsid w:val="00992308"/>
    <w:rsid w:val="009A3557"/>
    <w:rsid w:val="009A6793"/>
    <w:rsid w:val="009B38CA"/>
    <w:rsid w:val="009C0955"/>
    <w:rsid w:val="009D4CAC"/>
    <w:rsid w:val="00A00233"/>
    <w:rsid w:val="00A14B86"/>
    <w:rsid w:val="00A215DB"/>
    <w:rsid w:val="00A33F05"/>
    <w:rsid w:val="00A36036"/>
    <w:rsid w:val="00A419C7"/>
    <w:rsid w:val="00A42FAA"/>
    <w:rsid w:val="00A51365"/>
    <w:rsid w:val="00A518CE"/>
    <w:rsid w:val="00A51A82"/>
    <w:rsid w:val="00A5782F"/>
    <w:rsid w:val="00A8403D"/>
    <w:rsid w:val="00A87072"/>
    <w:rsid w:val="00AA0DDA"/>
    <w:rsid w:val="00AA1A30"/>
    <w:rsid w:val="00AA1A5E"/>
    <w:rsid w:val="00AA1D13"/>
    <w:rsid w:val="00AA4360"/>
    <w:rsid w:val="00AB4B59"/>
    <w:rsid w:val="00AC63D5"/>
    <w:rsid w:val="00AD1505"/>
    <w:rsid w:val="00AD1E98"/>
    <w:rsid w:val="00AE2E99"/>
    <w:rsid w:val="00AE67B0"/>
    <w:rsid w:val="00AF36DA"/>
    <w:rsid w:val="00AF5C91"/>
    <w:rsid w:val="00B02795"/>
    <w:rsid w:val="00B05AFD"/>
    <w:rsid w:val="00B135AD"/>
    <w:rsid w:val="00B22D4C"/>
    <w:rsid w:val="00B24019"/>
    <w:rsid w:val="00B25B23"/>
    <w:rsid w:val="00B26BB0"/>
    <w:rsid w:val="00B338FA"/>
    <w:rsid w:val="00B34608"/>
    <w:rsid w:val="00B37C86"/>
    <w:rsid w:val="00B40C0B"/>
    <w:rsid w:val="00B4243B"/>
    <w:rsid w:val="00B44861"/>
    <w:rsid w:val="00B56212"/>
    <w:rsid w:val="00B562E1"/>
    <w:rsid w:val="00B56C41"/>
    <w:rsid w:val="00B5725D"/>
    <w:rsid w:val="00B73097"/>
    <w:rsid w:val="00B737D3"/>
    <w:rsid w:val="00B74768"/>
    <w:rsid w:val="00B748CE"/>
    <w:rsid w:val="00B74AAA"/>
    <w:rsid w:val="00B81C23"/>
    <w:rsid w:val="00B83526"/>
    <w:rsid w:val="00B840FD"/>
    <w:rsid w:val="00B90A0A"/>
    <w:rsid w:val="00B9164F"/>
    <w:rsid w:val="00B93A14"/>
    <w:rsid w:val="00B955A4"/>
    <w:rsid w:val="00BA0353"/>
    <w:rsid w:val="00BA2066"/>
    <w:rsid w:val="00BA608C"/>
    <w:rsid w:val="00BA7C17"/>
    <w:rsid w:val="00BA7F9E"/>
    <w:rsid w:val="00BB056B"/>
    <w:rsid w:val="00BB55F6"/>
    <w:rsid w:val="00BC2E4F"/>
    <w:rsid w:val="00BE3388"/>
    <w:rsid w:val="00BE6AC5"/>
    <w:rsid w:val="00BE79F2"/>
    <w:rsid w:val="00BF34FB"/>
    <w:rsid w:val="00C0078F"/>
    <w:rsid w:val="00C0597D"/>
    <w:rsid w:val="00C16C0D"/>
    <w:rsid w:val="00C1745C"/>
    <w:rsid w:val="00C20F86"/>
    <w:rsid w:val="00C41F66"/>
    <w:rsid w:val="00C444A4"/>
    <w:rsid w:val="00C453FA"/>
    <w:rsid w:val="00C55358"/>
    <w:rsid w:val="00C61739"/>
    <w:rsid w:val="00C62FE6"/>
    <w:rsid w:val="00C65E38"/>
    <w:rsid w:val="00C663CB"/>
    <w:rsid w:val="00C77C65"/>
    <w:rsid w:val="00C80A24"/>
    <w:rsid w:val="00C83DFC"/>
    <w:rsid w:val="00C870C2"/>
    <w:rsid w:val="00C92583"/>
    <w:rsid w:val="00C92D06"/>
    <w:rsid w:val="00C95AEB"/>
    <w:rsid w:val="00C963F2"/>
    <w:rsid w:val="00CA298F"/>
    <w:rsid w:val="00CD221F"/>
    <w:rsid w:val="00CD4691"/>
    <w:rsid w:val="00CD4AF7"/>
    <w:rsid w:val="00CD7230"/>
    <w:rsid w:val="00CD7A2F"/>
    <w:rsid w:val="00CE0C31"/>
    <w:rsid w:val="00CE3E40"/>
    <w:rsid w:val="00CE6046"/>
    <w:rsid w:val="00CE6294"/>
    <w:rsid w:val="00D00497"/>
    <w:rsid w:val="00D12DEE"/>
    <w:rsid w:val="00D136D9"/>
    <w:rsid w:val="00D14807"/>
    <w:rsid w:val="00D220F1"/>
    <w:rsid w:val="00D3624D"/>
    <w:rsid w:val="00D400B6"/>
    <w:rsid w:val="00D443F6"/>
    <w:rsid w:val="00D475E9"/>
    <w:rsid w:val="00D52342"/>
    <w:rsid w:val="00D60C63"/>
    <w:rsid w:val="00D63A1E"/>
    <w:rsid w:val="00D63DFE"/>
    <w:rsid w:val="00D74B41"/>
    <w:rsid w:val="00D86C95"/>
    <w:rsid w:val="00D87387"/>
    <w:rsid w:val="00D90BC5"/>
    <w:rsid w:val="00D915F6"/>
    <w:rsid w:val="00D93DD7"/>
    <w:rsid w:val="00DB75B4"/>
    <w:rsid w:val="00DC0DA3"/>
    <w:rsid w:val="00DC10B5"/>
    <w:rsid w:val="00DC24EA"/>
    <w:rsid w:val="00DC7FA1"/>
    <w:rsid w:val="00DD051F"/>
    <w:rsid w:val="00DD589B"/>
    <w:rsid w:val="00DE0BF2"/>
    <w:rsid w:val="00DF14F6"/>
    <w:rsid w:val="00DF6006"/>
    <w:rsid w:val="00DF7535"/>
    <w:rsid w:val="00E07620"/>
    <w:rsid w:val="00E149F4"/>
    <w:rsid w:val="00E15A9A"/>
    <w:rsid w:val="00E204DE"/>
    <w:rsid w:val="00E24A8B"/>
    <w:rsid w:val="00E34E75"/>
    <w:rsid w:val="00E37D1B"/>
    <w:rsid w:val="00E44F9C"/>
    <w:rsid w:val="00E46AA8"/>
    <w:rsid w:val="00E555F0"/>
    <w:rsid w:val="00E55E79"/>
    <w:rsid w:val="00E6078C"/>
    <w:rsid w:val="00E60A8C"/>
    <w:rsid w:val="00E62B12"/>
    <w:rsid w:val="00E65D43"/>
    <w:rsid w:val="00E670D1"/>
    <w:rsid w:val="00E67689"/>
    <w:rsid w:val="00E72A48"/>
    <w:rsid w:val="00E80139"/>
    <w:rsid w:val="00E874CE"/>
    <w:rsid w:val="00E91587"/>
    <w:rsid w:val="00E94F52"/>
    <w:rsid w:val="00EA476F"/>
    <w:rsid w:val="00EC5639"/>
    <w:rsid w:val="00ED09EE"/>
    <w:rsid w:val="00ED7CD0"/>
    <w:rsid w:val="00EE0DDC"/>
    <w:rsid w:val="00EF485B"/>
    <w:rsid w:val="00EF76A0"/>
    <w:rsid w:val="00F141AA"/>
    <w:rsid w:val="00F1579A"/>
    <w:rsid w:val="00F25976"/>
    <w:rsid w:val="00F26743"/>
    <w:rsid w:val="00F3305B"/>
    <w:rsid w:val="00F36099"/>
    <w:rsid w:val="00F42584"/>
    <w:rsid w:val="00F450CC"/>
    <w:rsid w:val="00F521BF"/>
    <w:rsid w:val="00F5368D"/>
    <w:rsid w:val="00F73A47"/>
    <w:rsid w:val="00F83F31"/>
    <w:rsid w:val="00F84160"/>
    <w:rsid w:val="00F87F93"/>
    <w:rsid w:val="00F937E3"/>
    <w:rsid w:val="00F95FC8"/>
    <w:rsid w:val="00FB208B"/>
    <w:rsid w:val="00FB32E5"/>
    <w:rsid w:val="00FB4C82"/>
    <w:rsid w:val="00FC01B6"/>
    <w:rsid w:val="00FC5A11"/>
    <w:rsid w:val="00FC6148"/>
    <w:rsid w:val="00FD0B66"/>
    <w:rsid w:val="00FD0CB3"/>
    <w:rsid w:val="00FD2BA2"/>
    <w:rsid w:val="00FD564A"/>
    <w:rsid w:val="00FD6479"/>
    <w:rsid w:val="00FD7CC7"/>
    <w:rsid w:val="00FE1F57"/>
    <w:rsid w:val="00FE5D1D"/>
    <w:rsid w:val="00FE62BC"/>
    <w:rsid w:val="00FF2517"/>
    <w:rsid w:val="00FF34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4F4D"/>
  <w15:docId w15:val="{56D857A3-66B5-416F-8185-C810B44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645A"/>
    <w:pPr>
      <w:keepNext/>
      <w:keepLines/>
      <w:spacing w:before="240" w:after="0"/>
      <w:jc w:val="center"/>
      <w:outlineLvl w:val="0"/>
    </w:pPr>
    <w:rPr>
      <w:rFonts w:ascii="Arial" w:eastAsiaTheme="majorEastAsia" w:hAnsi="Arial" w:cstheme="majorBidi"/>
      <w:b/>
      <w:color w:val="083756"/>
      <w:sz w:val="32"/>
      <w:szCs w:val="32"/>
      <w:lang w:val="en-GB"/>
    </w:rPr>
  </w:style>
  <w:style w:type="paragraph" w:styleId="Kop2">
    <w:name w:val="heading 2"/>
    <w:basedOn w:val="Standaard"/>
    <w:next w:val="Standaard"/>
    <w:link w:val="Kop2Char"/>
    <w:uiPriority w:val="9"/>
    <w:unhideWhenUsed/>
    <w:qFormat/>
    <w:rsid w:val="0093645A"/>
    <w:pPr>
      <w:keepNext/>
      <w:keepLines/>
      <w:spacing w:before="40" w:after="0" w:line="240" w:lineRule="auto"/>
      <w:outlineLvl w:val="1"/>
    </w:pPr>
    <w:rPr>
      <w:rFonts w:ascii="Arial" w:eastAsiaTheme="majorEastAsia" w:hAnsi="Arial" w:cstheme="majorBidi"/>
      <w:b/>
      <w:color w:val="083756"/>
      <w:szCs w:val="26"/>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84160"/>
    <w:pPr>
      <w:autoSpaceDE w:val="0"/>
      <w:autoSpaceDN w:val="0"/>
      <w:adjustRightInd w:val="0"/>
      <w:spacing w:after="0" w:line="240" w:lineRule="auto"/>
    </w:pPr>
    <w:rPr>
      <w:rFonts w:ascii="Cambria" w:hAnsi="Cambria" w:cs="Cambria"/>
      <w:color w:val="000000"/>
      <w:sz w:val="24"/>
      <w:szCs w:val="24"/>
    </w:rPr>
  </w:style>
  <w:style w:type="character" w:customStyle="1" w:styleId="Kop2Char">
    <w:name w:val="Kop 2 Char"/>
    <w:basedOn w:val="Standaardalinea-lettertype"/>
    <w:link w:val="Kop2"/>
    <w:uiPriority w:val="9"/>
    <w:rsid w:val="0093645A"/>
    <w:rPr>
      <w:rFonts w:ascii="Arial" w:eastAsiaTheme="majorEastAsia" w:hAnsi="Arial" w:cstheme="majorBidi"/>
      <w:b/>
      <w:color w:val="083756"/>
      <w:szCs w:val="26"/>
      <w:u w:val="single"/>
      <w:lang w:val="en-GB"/>
    </w:rPr>
  </w:style>
  <w:style w:type="table" w:styleId="Tabelraster">
    <w:name w:val="Table Grid"/>
    <w:basedOn w:val="Standaardtabel"/>
    <w:uiPriority w:val="59"/>
    <w:rsid w:val="00F8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3645A"/>
    <w:rPr>
      <w:rFonts w:ascii="Arial" w:eastAsiaTheme="majorEastAsia" w:hAnsi="Arial" w:cstheme="majorBidi"/>
      <w:b/>
      <w:color w:val="083756"/>
      <w:sz w:val="32"/>
      <w:szCs w:val="32"/>
      <w:lang w:val="en-GB"/>
    </w:rPr>
  </w:style>
  <w:style w:type="paragraph" w:styleId="Ballontekst">
    <w:name w:val="Balloon Text"/>
    <w:basedOn w:val="Standaard"/>
    <w:link w:val="BallontekstChar"/>
    <w:uiPriority w:val="99"/>
    <w:semiHidden/>
    <w:unhideWhenUsed/>
    <w:rsid w:val="00533A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3A5A"/>
    <w:rPr>
      <w:rFonts w:ascii="Tahoma" w:hAnsi="Tahoma" w:cs="Tahoma"/>
      <w:sz w:val="16"/>
      <w:szCs w:val="16"/>
    </w:rPr>
  </w:style>
  <w:style w:type="paragraph" w:styleId="Lijstalinea">
    <w:name w:val="List Paragraph"/>
    <w:basedOn w:val="Standaard"/>
    <w:uiPriority w:val="34"/>
    <w:qFormat/>
    <w:rsid w:val="00B05AFD"/>
    <w:pPr>
      <w:ind w:left="720"/>
      <w:contextualSpacing/>
    </w:pPr>
  </w:style>
  <w:style w:type="character" w:styleId="Hyperlink">
    <w:name w:val="Hyperlink"/>
    <w:basedOn w:val="Standaardalinea-lettertype"/>
    <w:uiPriority w:val="99"/>
    <w:unhideWhenUsed/>
    <w:rsid w:val="00933862"/>
    <w:rPr>
      <w:color w:val="0000FF" w:themeColor="hyperlink"/>
      <w:u w:val="single"/>
    </w:rPr>
  </w:style>
  <w:style w:type="paragraph" w:styleId="Koptekst">
    <w:name w:val="header"/>
    <w:basedOn w:val="Standaard"/>
    <w:link w:val="KoptekstChar"/>
    <w:uiPriority w:val="99"/>
    <w:unhideWhenUsed/>
    <w:rsid w:val="00E149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49F4"/>
  </w:style>
  <w:style w:type="paragraph" w:styleId="Voettekst">
    <w:name w:val="footer"/>
    <w:basedOn w:val="Standaard"/>
    <w:link w:val="VoettekstChar"/>
    <w:uiPriority w:val="99"/>
    <w:unhideWhenUsed/>
    <w:rsid w:val="00E149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49F4"/>
  </w:style>
  <w:style w:type="character" w:styleId="Verwijzingopmerking">
    <w:name w:val="annotation reference"/>
    <w:basedOn w:val="Standaardalinea-lettertype"/>
    <w:uiPriority w:val="99"/>
    <w:semiHidden/>
    <w:unhideWhenUsed/>
    <w:rsid w:val="00CE3E40"/>
    <w:rPr>
      <w:sz w:val="16"/>
      <w:szCs w:val="16"/>
    </w:rPr>
  </w:style>
  <w:style w:type="paragraph" w:styleId="Tekstopmerking">
    <w:name w:val="annotation text"/>
    <w:basedOn w:val="Standaard"/>
    <w:link w:val="TekstopmerkingChar"/>
    <w:uiPriority w:val="99"/>
    <w:semiHidden/>
    <w:unhideWhenUsed/>
    <w:rsid w:val="00CE3E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3E40"/>
    <w:rPr>
      <w:sz w:val="20"/>
      <w:szCs w:val="20"/>
    </w:rPr>
  </w:style>
  <w:style w:type="paragraph" w:styleId="Onderwerpvanopmerking">
    <w:name w:val="annotation subject"/>
    <w:basedOn w:val="Tekstopmerking"/>
    <w:next w:val="Tekstopmerking"/>
    <w:link w:val="OnderwerpvanopmerkingChar"/>
    <w:uiPriority w:val="99"/>
    <w:semiHidden/>
    <w:unhideWhenUsed/>
    <w:rsid w:val="00CE3E40"/>
    <w:rPr>
      <w:b/>
      <w:bCs/>
    </w:rPr>
  </w:style>
  <w:style w:type="character" w:customStyle="1" w:styleId="OnderwerpvanopmerkingChar">
    <w:name w:val="Onderwerp van opmerking Char"/>
    <w:basedOn w:val="TekstopmerkingChar"/>
    <w:link w:val="Onderwerpvanopmerking"/>
    <w:uiPriority w:val="99"/>
    <w:semiHidden/>
    <w:rsid w:val="00CE3E40"/>
    <w:rPr>
      <w:b/>
      <w:bCs/>
      <w:sz w:val="20"/>
      <w:szCs w:val="20"/>
    </w:rPr>
  </w:style>
  <w:style w:type="character" w:styleId="GevolgdeHyperlink">
    <w:name w:val="FollowedHyperlink"/>
    <w:basedOn w:val="Standaardalinea-lettertype"/>
    <w:uiPriority w:val="99"/>
    <w:semiHidden/>
    <w:unhideWhenUsed/>
    <w:rsid w:val="00EC5639"/>
    <w:rPr>
      <w:color w:val="800080" w:themeColor="followedHyperlink"/>
      <w:u w:val="single"/>
    </w:rPr>
  </w:style>
  <w:style w:type="paragraph" w:styleId="Voetnoottekst">
    <w:name w:val="footnote text"/>
    <w:basedOn w:val="Standaard"/>
    <w:link w:val="VoetnoottekstChar"/>
    <w:uiPriority w:val="99"/>
    <w:semiHidden/>
    <w:unhideWhenUsed/>
    <w:rsid w:val="000E2D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2D87"/>
    <w:rPr>
      <w:sz w:val="20"/>
      <w:szCs w:val="20"/>
    </w:rPr>
  </w:style>
  <w:style w:type="character" w:styleId="Voetnootmarkering">
    <w:name w:val="footnote reference"/>
    <w:basedOn w:val="Standaardalinea-lettertype"/>
    <w:uiPriority w:val="99"/>
    <w:semiHidden/>
    <w:unhideWhenUsed/>
    <w:rsid w:val="000E2D87"/>
    <w:rPr>
      <w:vertAlign w:val="superscript"/>
    </w:rPr>
  </w:style>
  <w:style w:type="paragraph" w:styleId="Bijschrift">
    <w:name w:val="caption"/>
    <w:basedOn w:val="Standaard"/>
    <w:next w:val="Standaard"/>
    <w:uiPriority w:val="35"/>
    <w:semiHidden/>
    <w:unhideWhenUsed/>
    <w:qFormat/>
    <w:rsid w:val="00622F0C"/>
    <w:pPr>
      <w:spacing w:line="240" w:lineRule="auto"/>
    </w:pPr>
    <w:rPr>
      <w:i/>
      <w:iCs/>
      <w:color w:val="1F497D" w:themeColor="text2"/>
      <w:sz w:val="18"/>
      <w:szCs w:val="18"/>
      <w:lang w:val="en-GB"/>
    </w:rPr>
  </w:style>
  <w:style w:type="character" w:customStyle="1" w:styleId="Onopgelostemelding1">
    <w:name w:val="Onopgeloste melding1"/>
    <w:basedOn w:val="Standaardalinea-lettertype"/>
    <w:uiPriority w:val="99"/>
    <w:semiHidden/>
    <w:unhideWhenUsed/>
    <w:rsid w:val="00DC10B5"/>
    <w:rPr>
      <w:color w:val="808080"/>
      <w:shd w:val="clear" w:color="auto" w:fill="E6E6E6"/>
    </w:rPr>
  </w:style>
  <w:style w:type="paragraph" w:styleId="Titel">
    <w:name w:val="Title"/>
    <w:basedOn w:val="Standaard"/>
    <w:next w:val="Standaard"/>
    <w:link w:val="TitelChar"/>
    <w:uiPriority w:val="10"/>
    <w:qFormat/>
    <w:rsid w:val="005742AB"/>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5742AB"/>
    <w:rPr>
      <w:rFonts w:asciiTheme="majorHAnsi" w:eastAsiaTheme="majorEastAsia" w:hAnsiTheme="majorHAnsi" w:cstheme="majorBidi"/>
      <w:spacing w:val="-10"/>
      <w:kern w:val="28"/>
      <w:sz w:val="56"/>
      <w:szCs w:val="56"/>
      <w:lang w:val="en-US"/>
    </w:rPr>
  </w:style>
  <w:style w:type="paragraph" w:styleId="Geenafstand">
    <w:name w:val="No Spacing"/>
    <w:uiPriority w:val="1"/>
    <w:qFormat/>
    <w:rsid w:val="00EF485B"/>
    <w:pPr>
      <w:spacing w:after="0" w:line="240" w:lineRule="auto"/>
      <w:jc w:val="both"/>
    </w:pPr>
    <w:rPr>
      <w:rFonts w:ascii="Arial" w:hAnsi="Arial"/>
      <w:color w:val="083756"/>
      <w:sz w:val="20"/>
      <w:lang w:val="en-GB"/>
    </w:rPr>
  </w:style>
  <w:style w:type="character" w:styleId="Onopgelostemelding">
    <w:name w:val="Unresolved Mention"/>
    <w:basedOn w:val="Standaardalinea-lettertype"/>
    <w:uiPriority w:val="99"/>
    <w:semiHidden/>
    <w:unhideWhenUsed/>
    <w:rsid w:val="001B4097"/>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Standaardalinea-lettertype"/>
    <w:link w:val="Lijstalinea1"/>
    <w:uiPriority w:val="34"/>
    <w:locked/>
    <w:rsid w:val="000668F4"/>
    <w:rPr>
      <w:rFonts w:ascii="Calibri" w:hAnsi="Calibri" w:cs="Calibri"/>
    </w:rPr>
  </w:style>
  <w:style w:type="paragraph" w:customStyle="1" w:styleId="Lijstalinea1">
    <w:name w:val="Lijstalinea1"/>
    <w:aliases w:val="Numbered Para 1,Dot pt,No Spacing1,List Paragraph Char Char Char,Indicator Text,List Paragraph1,Bullet Points,Bullet 1,MAIN CONTENT,List Paragraph12,F5 List Paragraph,Texto corrido,Lista viñetas,Task Body,Viñetas (Inicio Parrafo)"/>
    <w:basedOn w:val="Standaard"/>
    <w:link w:val="ListParagraphChar"/>
    <w:uiPriority w:val="34"/>
    <w:rsid w:val="000668F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52151">
      <w:bodyDiv w:val="1"/>
      <w:marLeft w:val="0"/>
      <w:marRight w:val="0"/>
      <w:marTop w:val="0"/>
      <w:marBottom w:val="0"/>
      <w:divBdr>
        <w:top w:val="none" w:sz="0" w:space="0" w:color="auto"/>
        <w:left w:val="none" w:sz="0" w:space="0" w:color="auto"/>
        <w:bottom w:val="none" w:sz="0" w:space="0" w:color="auto"/>
        <w:right w:val="none" w:sz="0" w:space="0" w:color="auto"/>
      </w:divBdr>
    </w:div>
    <w:div w:id="937953653">
      <w:bodyDiv w:val="1"/>
      <w:marLeft w:val="0"/>
      <w:marRight w:val="0"/>
      <w:marTop w:val="0"/>
      <w:marBottom w:val="0"/>
      <w:divBdr>
        <w:top w:val="none" w:sz="0" w:space="0" w:color="auto"/>
        <w:left w:val="none" w:sz="0" w:space="0" w:color="auto"/>
        <w:bottom w:val="none" w:sz="0" w:space="0" w:color="auto"/>
        <w:right w:val="none" w:sz="0" w:space="0" w:color="auto"/>
      </w:divBdr>
    </w:div>
    <w:div w:id="1178540826">
      <w:bodyDiv w:val="1"/>
      <w:marLeft w:val="0"/>
      <w:marRight w:val="0"/>
      <w:marTop w:val="0"/>
      <w:marBottom w:val="0"/>
      <w:divBdr>
        <w:top w:val="none" w:sz="0" w:space="0" w:color="auto"/>
        <w:left w:val="none" w:sz="0" w:space="0" w:color="auto"/>
        <w:bottom w:val="none" w:sz="0" w:space="0" w:color="auto"/>
        <w:right w:val="none" w:sz="0" w:space="0" w:color="auto"/>
      </w:divBdr>
    </w:div>
    <w:div w:id="1459839555">
      <w:bodyDiv w:val="1"/>
      <w:marLeft w:val="0"/>
      <w:marRight w:val="0"/>
      <w:marTop w:val="0"/>
      <w:marBottom w:val="0"/>
      <w:divBdr>
        <w:top w:val="none" w:sz="0" w:space="0" w:color="auto"/>
        <w:left w:val="none" w:sz="0" w:space="0" w:color="auto"/>
        <w:bottom w:val="none" w:sz="0" w:space="0" w:color="auto"/>
        <w:right w:val="none" w:sz="0" w:space="0" w:color="auto"/>
      </w:divBdr>
    </w:div>
    <w:div w:id="1505246583">
      <w:bodyDiv w:val="1"/>
      <w:marLeft w:val="0"/>
      <w:marRight w:val="0"/>
      <w:marTop w:val="0"/>
      <w:marBottom w:val="0"/>
      <w:divBdr>
        <w:top w:val="none" w:sz="0" w:space="0" w:color="auto"/>
        <w:left w:val="none" w:sz="0" w:space="0" w:color="auto"/>
        <w:bottom w:val="none" w:sz="0" w:space="0" w:color="auto"/>
        <w:right w:val="none" w:sz="0" w:space="0" w:color="auto"/>
      </w:divBdr>
    </w:div>
    <w:div w:id="17015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onnaie@catalisti.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monnaie@catalisti.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nshotflanders.be/mot1-paddl/" TargetMode="External"/><Relationship Id="rId5" Type="http://schemas.openxmlformats.org/officeDocument/2006/relationships/numbering" Target="numbering.xml"/><Relationship Id="rId15" Type="http://schemas.openxmlformats.org/officeDocument/2006/relationships/hyperlink" Target="mailto:imonnaie@catalisti.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onnaie@catalist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71F8ABC2C0641A64E5D8D2B9CD89D" ma:contentTypeVersion="11" ma:contentTypeDescription="Create a new document." ma:contentTypeScope="" ma:versionID="4bd8cd01cc283c7b589c96c88ce05bb8">
  <xsd:schema xmlns:xsd="http://www.w3.org/2001/XMLSchema" xmlns:xs="http://www.w3.org/2001/XMLSchema" xmlns:p="http://schemas.microsoft.com/office/2006/metadata/properties" xmlns:ns2="bcc93f56-e6d6-4b50-b67c-8ecd9a628f8a" xmlns:ns3="4d0751d4-2584-41a1-a7ca-880efaf8acfe" targetNamespace="http://schemas.microsoft.com/office/2006/metadata/properties" ma:root="true" ma:fieldsID="f0142475b220583c86052039187fe0cf" ns2:_="" ns3:_="">
    <xsd:import namespace="bcc93f56-e6d6-4b50-b67c-8ecd9a628f8a"/>
    <xsd:import namespace="4d0751d4-2584-41a1-a7ca-880efaf8a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93f56-e6d6-4b50-b67c-8ecd9a628f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751d4-2584-41a1-a7ca-880efaf8ac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25F9-F834-49D5-B314-99C6FB8EC969}">
  <ds:schemaRefs>
    <ds:schemaRef ds:uri="http://schemas.microsoft.com/sharepoint/v3/contenttype/forms"/>
  </ds:schemaRefs>
</ds:datastoreItem>
</file>

<file path=customXml/itemProps2.xml><?xml version="1.0" encoding="utf-8"?>
<ds:datastoreItem xmlns:ds="http://schemas.openxmlformats.org/officeDocument/2006/customXml" ds:itemID="{216699C8-61D6-4E40-9772-3F3300996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93f56-e6d6-4b50-b67c-8ecd9a628f8a"/>
    <ds:schemaRef ds:uri="4d0751d4-2584-41a1-a7ca-880efaf8a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BCC7E-D269-4DAB-A2FD-A9723F3C7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59482D-A6B3-4A0C-8312-06DED640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2333</Words>
  <Characters>12834</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D'Hondt Els</dc:creator>
  <cp:keywords/>
  <cp:lastModifiedBy>Merten De Kinderen</cp:lastModifiedBy>
  <cp:revision>137</cp:revision>
  <dcterms:created xsi:type="dcterms:W3CDTF">2020-04-27T13:31:00Z</dcterms:created>
  <dcterms:modified xsi:type="dcterms:W3CDTF">2021-05-05T10:19:00Z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0x010100AB571F8ABC2C0641A64E5D8D2B9CD89D</vt:lpwstr>
  </property>
</Properties>
</file>